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6299" w:rsidRPr="00A66299" w:rsidRDefault="00A66299" w:rsidP="00A66299">
      <w:pPr>
        <w:spacing w:after="0" w:line="240" w:lineRule="auto"/>
        <w:jc w:val="center"/>
        <w:rPr>
          <w:rFonts w:ascii="Times New Roman" w:hAnsi="Times New Roman" w:cs="Times New Roman"/>
          <w:i/>
        </w:rPr>
      </w:pPr>
      <w:r w:rsidRPr="00A66299">
        <w:rPr>
          <w:rFonts w:ascii="Times New Roman" w:hAnsi="Times New Roman" w:cs="Times New Roman"/>
          <w:i/>
        </w:rPr>
        <w:t>Publikationen Annelen Ottermann 2017</w:t>
      </w:r>
    </w:p>
    <w:p w:rsidR="00A66299" w:rsidRPr="00A66299" w:rsidRDefault="00A66299" w:rsidP="00B427A3">
      <w:pPr>
        <w:spacing w:after="0" w:line="240" w:lineRule="auto"/>
        <w:jc w:val="center"/>
        <w:rPr>
          <w:rFonts w:ascii="Times New Roman" w:hAnsi="Times New Roman" w:cs="Times New Roman"/>
          <w:i/>
        </w:rPr>
      </w:pPr>
      <w:r w:rsidRPr="00A66299">
        <w:rPr>
          <w:rFonts w:ascii="Times New Roman" w:hAnsi="Times New Roman" w:cs="Times New Roman"/>
          <w:i/>
        </w:rPr>
        <w:t>Zum Themenbereich Handschriften, Rara, Alte Drucke und Bestandserhaltung</w:t>
      </w:r>
    </w:p>
    <w:p w:rsidR="00B427A3" w:rsidRPr="00B427A3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before="240" w:after="240" w:line="240" w:lineRule="auto"/>
        <w:ind w:left="714" w:hanging="357"/>
        <w:rPr>
          <w:rFonts w:ascii="Times New Roman" w:hAnsi="Times New Roman" w:cs="Times New Roman"/>
          <w:bCs/>
        </w:rPr>
      </w:pPr>
      <w:r w:rsidRPr="00B427A3">
        <w:rPr>
          <w:rFonts w:ascii="Times New Roman" w:hAnsi="Times New Roman" w:cs="Times New Roman"/>
          <w:bCs/>
          <w:iCs/>
          <w:color w:val="330033"/>
        </w:rPr>
        <w:t xml:space="preserve">Was sich rechnet, weil es sich auszahlt. Das Beispiel des Mainzer Buchpatenprojekts, in: Petra Hauke, Andrea Kaufmann, Vivien Petras (Hrsg.): </w:t>
      </w:r>
      <w:r w:rsidRPr="00B427A3">
        <w:rPr>
          <w:rFonts w:ascii="Times New Roman" w:hAnsi="Times New Roman" w:cs="Times New Roman"/>
        </w:rPr>
        <w:t>Bibliothek. Forschung für die Praxis. Festschrift für Konrad Umlauf zum 65. Geburtstag. Berlin/Boston, 2017, S. 201–216.</w:t>
      </w:r>
      <w:r>
        <w:rPr>
          <w:rFonts w:ascii="Times New Roman" w:hAnsi="Times New Roman" w:cs="Times New Roman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240" w:line="240" w:lineRule="auto"/>
        <w:ind w:left="714" w:hanging="357"/>
        <w:rPr>
          <w:rFonts w:ascii="Times New Roman" w:hAnsi="Times New Roman" w:cs="Times New Roman"/>
          <w:bCs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>Patient Buch sucht Paten. Ein Erfolgsmodell der Wissenschaftlichen Stadtbibliothek Mainz,</w:t>
      </w:r>
      <w:r w:rsidRPr="009B33A4">
        <w:rPr>
          <w:rFonts w:ascii="Times New Roman" w:hAnsi="Times New Roman" w:cs="Times New Roman"/>
          <w:bCs/>
          <w:iCs/>
          <w:color w:val="330033"/>
        </w:rPr>
        <w:br/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KulturBetrieb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1 (2017), H. 4, S. 44–45.</w:t>
      </w:r>
    </w:p>
    <w:p w:rsidR="00B427A3" w:rsidRPr="0088232B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Cs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>Patient Buch sucht Paten. Das Buchpatenprojekt der Wissenschaftlichen Stadtbibliothek. Retrospektive und Ausblick</w:t>
      </w:r>
      <w:r w:rsidRPr="009B33A4">
        <w:rPr>
          <w:rFonts w:ascii="Times New Roman" w:hAnsi="Times New Roman" w:cs="Times New Roman"/>
          <w:bCs/>
          <w:iCs/>
          <w:color w:val="330033"/>
        </w:rPr>
        <w:br/>
        <w:t>Mainz Vierteljahreshefte 2017, H. 2, S. 80–82.</w:t>
      </w:r>
    </w:p>
    <w:p w:rsidR="00B427A3" w:rsidRPr="00B427A3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Cs/>
        </w:rPr>
      </w:pPr>
      <w:r w:rsidRPr="00B427A3">
        <w:rPr>
          <w:rFonts w:ascii="Times New Roman" w:hAnsi="Times New Roman" w:cs="Times New Roman"/>
          <w:bCs/>
          <w:iCs/>
          <w:color w:val="330033"/>
        </w:rPr>
        <w:t xml:space="preserve">10 Jahre „Patient Buch sucht Paten“. Ein Erfolgsmodell feiert Geburtstag, </w:t>
      </w:r>
      <w:r w:rsidRPr="00B427A3">
        <w:rPr>
          <w:rFonts w:ascii="Times New Roman" w:hAnsi="Times New Roman" w:cs="Times New Roman"/>
          <w:bCs/>
          <w:iCs/>
          <w:color w:val="330033"/>
        </w:rPr>
        <w:br/>
        <w:t>bibliotheken heute 13 (2017), H. 1, S. 29–31.</w:t>
      </w:r>
      <w:r>
        <w:rPr>
          <w:rFonts w:ascii="Times New Roman" w:hAnsi="Times New Roman" w:cs="Times New Roman"/>
          <w:bCs/>
          <w:iCs/>
          <w:color w:val="330033"/>
        </w:rPr>
        <w:br/>
      </w:r>
    </w:p>
    <w:p w:rsidR="00B427A3" w:rsidRPr="00B427A3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before="120" w:after="120" w:line="240" w:lineRule="auto"/>
        <w:ind w:left="714" w:hanging="357"/>
        <w:rPr>
          <w:rStyle w:val="Fett"/>
          <w:rFonts w:ascii="Times New Roman" w:hAnsi="Times New Roman" w:cs="Times New Roman"/>
          <w:b w:val="0"/>
        </w:rPr>
      </w:pPr>
      <w:r w:rsidRPr="00B427A3">
        <w:rPr>
          <w:rStyle w:val="Fett"/>
          <w:rFonts w:ascii="Times New Roman" w:hAnsi="Times New Roman" w:cs="Times New Roman"/>
          <w:b w:val="0"/>
        </w:rPr>
        <w:t xml:space="preserve">Provenienzerschließung am Altbestand – ein Blick auf den HeBIS-Verbund und die Wissenschaftlichen Stadtbibliothek Mainz. Zugleich ein exemplarischer Bericht über ein </w:t>
      </w:r>
      <w:proofErr w:type="spellStart"/>
      <w:r w:rsidRPr="00B427A3">
        <w:rPr>
          <w:rStyle w:val="Fett"/>
          <w:rFonts w:ascii="Times New Roman" w:hAnsi="Times New Roman" w:cs="Times New Roman"/>
          <w:b w:val="0"/>
        </w:rPr>
        <w:t>Provenienzforschungsprojekt</w:t>
      </w:r>
      <w:proofErr w:type="spellEnd"/>
      <w:r w:rsidRPr="00B427A3">
        <w:rPr>
          <w:rStyle w:val="Fett"/>
          <w:rFonts w:ascii="Times New Roman" w:hAnsi="Times New Roman" w:cs="Times New Roman"/>
          <w:b w:val="0"/>
        </w:rPr>
        <w:t>, Buch und Bibliothek 2017, H. 5, S. 252–257.</w:t>
      </w:r>
      <w:r>
        <w:rPr>
          <w:rStyle w:val="Fett"/>
          <w:rFonts w:ascii="Times New Roman" w:hAnsi="Times New Roman" w:cs="Times New Roman"/>
          <w:b w:val="0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rPr>
          <w:rStyle w:val="Fett"/>
          <w:rFonts w:ascii="Times New Roman" w:hAnsi="Times New Roman" w:cs="Times New Roman"/>
          <w:b w:val="0"/>
        </w:rPr>
      </w:pPr>
      <w:r w:rsidRPr="009B33A4">
        <w:rPr>
          <w:rStyle w:val="Fett"/>
          <w:rFonts w:ascii="Times New Roman" w:hAnsi="Times New Roman" w:cs="Times New Roman"/>
          <w:b w:val="0"/>
        </w:rPr>
        <w:t xml:space="preserve">Aus der Frühzeit der Mainzer </w:t>
      </w:r>
      <w:proofErr w:type="spellStart"/>
      <w:r w:rsidRPr="009B33A4">
        <w:rPr>
          <w:rStyle w:val="Fett"/>
          <w:rFonts w:ascii="Times New Roman" w:hAnsi="Times New Roman" w:cs="Times New Roman"/>
          <w:b w:val="0"/>
        </w:rPr>
        <w:t>Skriptorien</w:t>
      </w:r>
      <w:proofErr w:type="spellEnd"/>
      <w:r w:rsidRPr="009B33A4">
        <w:rPr>
          <w:rStyle w:val="Fett"/>
          <w:rFonts w:ascii="Times New Roman" w:hAnsi="Times New Roman" w:cs="Times New Roman"/>
          <w:b w:val="0"/>
        </w:rPr>
        <w:t>: Ein unbekanntes karolingisches Handschriftenfragment (Mainz, Wissenschaftliche Stadtbibliothek, Hs frag 20),</w:t>
      </w:r>
      <w:r w:rsidRPr="009B33A4">
        <w:rPr>
          <w:rStyle w:val="Fett"/>
          <w:rFonts w:ascii="Times New Roman" w:hAnsi="Times New Roman" w:cs="Times New Roman"/>
          <w:b w:val="0"/>
        </w:rPr>
        <w:br/>
        <w:t>BIBLIOTHEK – Forschung und Praxis 41 (2017), S. 103–114. [gemeinsam mit Tino Licht</w:t>
      </w:r>
      <w:r>
        <w:rPr>
          <w:rStyle w:val="Fett"/>
          <w:rFonts w:ascii="Times New Roman" w:hAnsi="Times New Roman" w:cs="Times New Roman"/>
          <w:b w:val="0"/>
        </w:rPr>
        <w:t>]</w:t>
      </w:r>
      <w:r>
        <w:rPr>
          <w:rStyle w:val="Fett"/>
          <w:rFonts w:ascii="Times New Roman" w:hAnsi="Times New Roman" w:cs="Times New Roman"/>
          <w:b w:val="0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after="120" w:line="240" w:lineRule="auto"/>
        <w:rPr>
          <w:rStyle w:val="Fett"/>
          <w:rFonts w:ascii="Times New Roman" w:hAnsi="Times New Roman" w:cs="Times New Roman"/>
          <w:b w:val="0"/>
          <w:bCs w:val="0"/>
        </w:rPr>
      </w:pPr>
      <w:r w:rsidRPr="009B33A4">
        <w:rPr>
          <w:rStyle w:val="Fett"/>
          <w:rFonts w:ascii="Times New Roman" w:hAnsi="Times New Roman" w:cs="Times New Roman"/>
          <w:b w:val="0"/>
          <w:bCs w:val="0"/>
        </w:rPr>
        <w:t>Für Anton Koberger: Exemplarisches zu Bucheinband und Buchmalerei im Inkunabelbestand der Mainzer Karmelitenbibliothek,</w:t>
      </w:r>
      <w:r>
        <w:rPr>
          <w:rStyle w:val="Fett"/>
          <w:rFonts w:ascii="Times New Roman" w:hAnsi="Times New Roman" w:cs="Times New Roman"/>
          <w:b w:val="0"/>
          <w:bCs w:val="0"/>
        </w:rPr>
        <w:t xml:space="preserve"> </w:t>
      </w:r>
      <w:r w:rsidRPr="009B33A4">
        <w:rPr>
          <w:rStyle w:val="Fett"/>
          <w:rFonts w:ascii="Times New Roman" w:hAnsi="Times New Roman" w:cs="Times New Roman"/>
          <w:b w:val="0"/>
          <w:bCs w:val="0"/>
        </w:rPr>
        <w:t xml:space="preserve">Imprimatur </w:t>
      </w:r>
      <w:proofErr w:type="spellStart"/>
      <w:r w:rsidRPr="009B33A4">
        <w:rPr>
          <w:rStyle w:val="Fett"/>
          <w:rFonts w:ascii="Times New Roman" w:hAnsi="Times New Roman" w:cs="Times New Roman"/>
          <w:b w:val="0"/>
          <w:bCs w:val="0"/>
        </w:rPr>
        <w:t>NF</w:t>
      </w:r>
      <w:proofErr w:type="spellEnd"/>
      <w:r w:rsidRPr="009B33A4">
        <w:rPr>
          <w:rStyle w:val="Fett"/>
          <w:rFonts w:ascii="Times New Roman" w:hAnsi="Times New Roman" w:cs="Times New Roman"/>
          <w:b w:val="0"/>
          <w:bCs w:val="0"/>
        </w:rPr>
        <w:t xml:space="preserve"> XXV (2017), S. 175–194.</w:t>
      </w:r>
      <w:r>
        <w:rPr>
          <w:rStyle w:val="Fett"/>
          <w:rFonts w:ascii="Times New Roman" w:hAnsi="Times New Roman" w:cs="Times New Roman"/>
          <w:b w:val="0"/>
          <w:bCs w:val="0"/>
        </w:rPr>
        <w:br/>
      </w:r>
    </w:p>
    <w:p w:rsidR="00B427A3" w:rsidRPr="00B427A3" w:rsidRDefault="00B427A3" w:rsidP="00B427A3">
      <w:pPr>
        <w:pStyle w:val="Listenabsatz"/>
        <w:numPr>
          <w:ilvl w:val="0"/>
          <w:numId w:val="1"/>
        </w:numPr>
        <w:spacing w:line="240" w:lineRule="auto"/>
      </w:pPr>
      <w:r w:rsidRPr="00B427A3">
        <w:rPr>
          <w:rFonts w:ascii="Times New Roman" w:hAnsi="Times New Roman" w:cs="Times New Roman"/>
          <w:bCs/>
          <w:iCs/>
          <w:color w:val="330033"/>
        </w:rPr>
        <w:t>Giovanni Pedro Schick in Magonza: Ein sprachgewandter Mainzer und seine frühneuzeitliche Bibliothek, Jahrbuch für Buch- und Bibliotheksgeschichte 2 (2017), S: 31–68. [Rekonstruktion der Bibliothek eines Buchbesitzers im Bestand der Stadtbibliothek]</w:t>
      </w:r>
      <w:r>
        <w:rPr>
          <w:rFonts w:ascii="Times New Roman" w:hAnsi="Times New Roman" w:cs="Times New Roman"/>
          <w:bCs/>
          <w:iCs/>
          <w:color w:val="330033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</w:pPr>
      <w:r w:rsidRPr="00B427A3">
        <w:rPr>
          <w:rFonts w:ascii="Times New Roman" w:hAnsi="Times New Roman" w:cs="Times New Roman"/>
          <w:bCs/>
          <w:iCs/>
          <w:color w:val="330033"/>
        </w:rPr>
        <w:t xml:space="preserve">Die Mainzer Karmelitenbibliothek. Schlaglichter auf einen rekonstruierten Wissensraum, </w:t>
      </w:r>
      <w:r w:rsidRPr="00B427A3">
        <w:rPr>
          <w:rFonts w:ascii="Times New Roman" w:hAnsi="Times New Roman" w:cs="Times New Roman"/>
          <w:bCs/>
          <w:iCs/>
          <w:color w:val="330033"/>
        </w:rPr>
        <w:br/>
        <w:t xml:space="preserve">Libri </w:t>
      </w:r>
      <w:proofErr w:type="spellStart"/>
      <w:r w:rsidRPr="00B427A3">
        <w:rPr>
          <w:rFonts w:ascii="Times New Roman" w:hAnsi="Times New Roman" w:cs="Times New Roman"/>
          <w:bCs/>
          <w:iCs/>
          <w:color w:val="330033"/>
        </w:rPr>
        <w:t>Pretiosi</w:t>
      </w:r>
      <w:proofErr w:type="spellEnd"/>
      <w:r w:rsidRPr="00B427A3">
        <w:rPr>
          <w:rFonts w:ascii="Times New Roman" w:hAnsi="Times New Roman" w:cs="Times New Roman"/>
          <w:bCs/>
          <w:iCs/>
          <w:color w:val="330033"/>
        </w:rPr>
        <w:t xml:space="preserve"> 2017 (im Erscheinen)</w:t>
      </w:r>
      <w:r>
        <w:rPr>
          <w:rFonts w:ascii="Times New Roman" w:hAnsi="Times New Roman" w:cs="Times New Roman"/>
          <w:bCs/>
          <w:iCs/>
          <w:color w:val="330033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Renward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Cysat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und sein 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Warhafftiger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Bericht von den New-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erfundnen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Japponischen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Inseln und Königreichen,</w:t>
      </w:r>
      <w:r>
        <w:rPr>
          <w:rFonts w:ascii="Times New Roman" w:hAnsi="Times New Roman" w:cs="Times New Roman"/>
          <w:bCs/>
          <w:iCs/>
          <w:color w:val="330033"/>
        </w:rPr>
        <w:t xml:space="preserve"> </w:t>
      </w:r>
      <w:r w:rsidRPr="009B33A4">
        <w:rPr>
          <w:rFonts w:ascii="Times New Roman" w:hAnsi="Times New Roman" w:cs="Times New Roman"/>
          <w:bCs/>
          <w:iCs/>
          <w:color w:val="330033"/>
        </w:rPr>
        <w:t>bibliotheken heute 13 (2017), H. 2, S. 79–81 [über ein Rarissimum der Stadtbibliothek] [</w:t>
      </w:r>
      <w:r>
        <w:rPr>
          <w:rFonts w:ascii="Times New Roman" w:hAnsi="Times New Roman" w:cs="Times New Roman"/>
          <w:bCs/>
          <w:iCs/>
          <w:color w:val="330033"/>
        </w:rPr>
        <w:t>gemeinsam</w:t>
      </w:r>
      <w:r w:rsidRPr="009B33A4">
        <w:rPr>
          <w:rFonts w:ascii="Times New Roman" w:hAnsi="Times New Roman" w:cs="Times New Roman"/>
          <w:bCs/>
          <w:iCs/>
          <w:color w:val="330033"/>
        </w:rPr>
        <w:t xml:space="preserve"> mit Christoph Nebgen]</w:t>
      </w:r>
      <w:r w:rsidRPr="009B33A4">
        <w:rPr>
          <w:rFonts w:ascii="Times New Roman" w:hAnsi="Times New Roman" w:cs="Times New Roman"/>
          <w:bCs/>
          <w:iCs/>
          <w:color w:val="330033"/>
        </w:rPr>
        <w:br/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 xml:space="preserve">Das Besondere Buch, Folge 28: 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Lutherus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der Teutschen Prophet,</w:t>
      </w:r>
      <w:r w:rsidRPr="009B33A4">
        <w:rPr>
          <w:rFonts w:ascii="Times New Roman" w:hAnsi="Times New Roman" w:cs="Times New Roman"/>
          <w:bCs/>
          <w:iCs/>
          <w:color w:val="330033"/>
        </w:rPr>
        <w:br/>
        <w:t>Mainz Vierteljahreshefte 2017, Hs. 1, S. 136-138.</w:t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>Das Besondere Buch, Folge 29: Auf dem Index: Luthers Katechismus,</w:t>
      </w:r>
      <w:r w:rsidRPr="009B33A4">
        <w:rPr>
          <w:rFonts w:ascii="Times New Roman" w:hAnsi="Times New Roman" w:cs="Times New Roman"/>
          <w:bCs/>
          <w:iCs/>
          <w:color w:val="330033"/>
        </w:rPr>
        <w:br/>
        <w:t>Mainz Vierteljahreshefte 2017, H. 2, S. 88–90.</w:t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>Das Besondere Buch, Folge 30: Eine Koranhandschrift als Beutegut des 17. Jahrhunderts,</w:t>
      </w:r>
      <w:r w:rsidRPr="009B33A4">
        <w:rPr>
          <w:rFonts w:ascii="Times New Roman" w:hAnsi="Times New Roman" w:cs="Times New Roman"/>
          <w:bCs/>
          <w:iCs/>
          <w:color w:val="330033"/>
        </w:rPr>
        <w:br/>
        <w:t>Mainz Vierteljahreshefte 2017, H. 3, S. 88–90.</w:t>
      </w:r>
    </w:p>
    <w:p w:rsidR="00B427A3" w:rsidRPr="009B33A4" w:rsidRDefault="00B427A3" w:rsidP="00B427A3">
      <w:pPr>
        <w:pStyle w:val="Listenabsatz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9B33A4">
        <w:rPr>
          <w:rFonts w:ascii="Times New Roman" w:hAnsi="Times New Roman" w:cs="Times New Roman"/>
          <w:bCs/>
          <w:iCs/>
          <w:color w:val="330033"/>
        </w:rPr>
        <w:t xml:space="preserve">Das Besondere Buch, Folge 31: Bechers </w:t>
      </w:r>
      <w:proofErr w:type="spellStart"/>
      <w:r w:rsidRPr="009B33A4">
        <w:rPr>
          <w:rFonts w:ascii="Times New Roman" w:hAnsi="Times New Roman" w:cs="Times New Roman"/>
          <w:bCs/>
          <w:iCs/>
          <w:color w:val="330033"/>
        </w:rPr>
        <w:t>Chymischer</w:t>
      </w:r>
      <w:proofErr w:type="spellEnd"/>
      <w:r w:rsidRPr="009B33A4">
        <w:rPr>
          <w:rFonts w:ascii="Times New Roman" w:hAnsi="Times New Roman" w:cs="Times New Roman"/>
          <w:bCs/>
          <w:iCs/>
          <w:color w:val="330033"/>
        </w:rPr>
        <w:t xml:space="preserve"> Glücks-Hafen,</w:t>
      </w:r>
      <w:r w:rsidRPr="009B33A4">
        <w:rPr>
          <w:rFonts w:ascii="Times New Roman" w:hAnsi="Times New Roman" w:cs="Times New Roman"/>
          <w:bCs/>
          <w:iCs/>
          <w:color w:val="330033"/>
        </w:rPr>
        <w:br/>
        <w:t xml:space="preserve">Mainz Vierteljahreshefte 2017, H. 4, </w:t>
      </w:r>
      <w:r>
        <w:rPr>
          <w:rFonts w:ascii="Times New Roman" w:hAnsi="Times New Roman" w:cs="Times New Roman"/>
          <w:bCs/>
          <w:iCs/>
          <w:color w:val="330033"/>
        </w:rPr>
        <w:t xml:space="preserve"> S. 72–74.</w:t>
      </w:r>
    </w:p>
    <w:p w:rsidR="00B427A3" w:rsidRPr="009B33A4" w:rsidRDefault="00B427A3" w:rsidP="00B427A3">
      <w:pPr>
        <w:rPr>
          <w:rFonts w:ascii="Times New Roman" w:hAnsi="Times New Roman" w:cs="Times New Roman"/>
          <w:i/>
        </w:rPr>
      </w:pPr>
    </w:p>
    <w:p w:rsidR="00A219CB" w:rsidRDefault="00A66299"/>
    <w:sectPr w:rsidR="00A219CB" w:rsidSect="00EC640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D24A48"/>
    <w:multiLevelType w:val="hybridMultilevel"/>
    <w:tmpl w:val="E40C661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B427A3"/>
    <w:rsid w:val="001C70B7"/>
    <w:rsid w:val="008E4FB0"/>
    <w:rsid w:val="00A66299"/>
    <w:rsid w:val="00B427A3"/>
    <w:rsid w:val="00B9220A"/>
    <w:rsid w:val="00D1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427A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B427A3"/>
    <w:rPr>
      <w:b/>
      <w:bCs/>
    </w:rPr>
  </w:style>
  <w:style w:type="paragraph" w:styleId="Listenabsatz">
    <w:name w:val="List Paragraph"/>
    <w:basedOn w:val="Standard"/>
    <w:uiPriority w:val="34"/>
    <w:qFormat/>
    <w:rsid w:val="00B427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341</Words>
  <Characters>2153</Characters>
  <Application>Microsoft Office Word</Application>
  <DocSecurity>0</DocSecurity>
  <Lines>17</Lines>
  <Paragraphs>4</Paragraphs>
  <ScaleCrop>false</ScaleCrop>
  <Company/>
  <LinksUpToDate>false</LinksUpToDate>
  <CharactersWithSpaces>2490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2015</dc:creator>
  <cp:lastModifiedBy>2015</cp:lastModifiedBy>
  <cp:revision>2</cp:revision>
  <dcterms:created xsi:type="dcterms:W3CDTF">2017-12-06T20:31:00Z</dcterms:created>
  <dcterms:modified xsi:type="dcterms:W3CDTF">2017-12-06T20:40:00Z</dcterms:modified>
</cp:coreProperties>
</file>