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7D1A" w:rsidRPr="00067D1A" w:rsidRDefault="00067D1A" w:rsidP="00067D1A">
      <w:pPr>
        <w:jc w:val="center"/>
        <w:rPr>
          <w:b/>
          <w:sz w:val="24"/>
          <w:szCs w:val="24"/>
        </w:rPr>
      </w:pPr>
      <w:bookmarkStart w:id="0" w:name="_GoBack"/>
      <w:r w:rsidRPr="00067D1A">
        <w:rPr>
          <w:b/>
          <w:sz w:val="24"/>
          <w:szCs w:val="24"/>
        </w:rPr>
        <w:t>Entwurf DCRMR Umfang einer Manifestation</w:t>
      </w:r>
    </w:p>
    <w:bookmarkEnd w:id="0"/>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Für Alte Drucke werden alle Folgen von gezählten und ungezählten Seiten, Blättern und Tafeln erfasst. Da es bei Alten Drucken häufig mehrerer solcher Folgen gibt, kann die Angabe des Umfangs</w:t>
      </w:r>
    </w:p>
    <w:p w:rsidR="00067D1A" w:rsidRPr="00067D1A" w:rsidRDefault="00067D1A" w:rsidP="00067D1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 xml:space="preserve">den Katalogisierenden beim Erfassen größere Probleme bereiten (z. B. einzelne unbedruckte Seiten am Anfang, innerhalb oder am Ende einer Folge von ungezählten Seiten, die gemäß RDA-Definition als Teile </w:t>
      </w:r>
      <w:proofErr w:type="gramStart"/>
      <w:r w:rsidRPr="00067D1A">
        <w:rPr>
          <w:rFonts w:ascii="Times New Roman" w:eastAsia="Times New Roman" w:hAnsi="Times New Roman" w:cs="Times New Roman"/>
          <w:sz w:val="24"/>
          <w:szCs w:val="24"/>
          <w:lang w:eastAsia="de-DE"/>
        </w:rPr>
        <w:t>von Blätter</w:t>
      </w:r>
      <w:proofErr w:type="gramEnd"/>
      <w:r w:rsidRPr="00067D1A">
        <w:rPr>
          <w:rFonts w:ascii="Times New Roman" w:eastAsia="Times New Roman" w:hAnsi="Times New Roman" w:cs="Times New Roman"/>
          <w:sz w:val="24"/>
          <w:szCs w:val="24"/>
          <w:lang w:eastAsia="de-DE"/>
        </w:rPr>
        <w:t xml:space="preserve"> aufzufassen sind) und</w:t>
      </w:r>
    </w:p>
    <w:p w:rsidR="00067D1A" w:rsidRPr="00067D1A" w:rsidRDefault="00067D1A" w:rsidP="00067D1A">
      <w:pPr>
        <w:numPr>
          <w:ilvl w:val="0"/>
          <w:numId w:val="1"/>
        </w:num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schnell sehr lang und unübersichtlich werden (z. B. gibt es von Antiquaren Rückmeldungen, dass die Umfangsangaben nur schwer verständlich sind).</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Eine Umfangsangabe wie</w:t>
      </w:r>
    </w:p>
    <w:p w:rsidR="00067D1A" w:rsidRPr="00067D1A" w:rsidRDefault="00067D1A" w:rsidP="00067D1A">
      <w:pPr>
        <w:spacing w:before="100" w:beforeAutospacing="1" w:after="100" w:afterAutospacing="1" w:line="240" w:lineRule="auto"/>
        <w:ind w:left="450"/>
        <w:rPr>
          <w:rFonts w:ascii="Times New Roman" w:eastAsia="Times New Roman" w:hAnsi="Times New Roman" w:cs="Times New Roman"/>
          <w:sz w:val="24"/>
          <w:szCs w:val="24"/>
          <w:lang w:eastAsia="de-DE"/>
        </w:rPr>
      </w:pPr>
      <w:r w:rsidRPr="00067D1A">
        <w:rPr>
          <w:rFonts w:ascii="Times New Roman" w:eastAsia="Times New Roman" w:hAnsi="Times New Roman" w:cs="Times New Roman"/>
          <w:b/>
          <w:bCs/>
          <w:sz w:val="24"/>
          <w:szCs w:val="24"/>
          <w:lang w:eastAsia="de-DE"/>
        </w:rPr>
        <w:t xml:space="preserve">10 ungezählte Seiten, 1 ungezähltes Blatt, cxxxiii Blätter, 1 ungezähltes Blatt, 8 ungezählte Seiten, xxvii Blätter, 1 ungezähltes Blatt, 14 ungezählte Seiten, 1 ungezähltes Blatt, </w:t>
      </w:r>
      <w:proofErr w:type="spellStart"/>
      <w:r w:rsidRPr="00067D1A">
        <w:rPr>
          <w:rFonts w:ascii="Times New Roman" w:eastAsia="Times New Roman" w:hAnsi="Times New Roman" w:cs="Times New Roman"/>
          <w:b/>
          <w:bCs/>
          <w:sz w:val="24"/>
          <w:szCs w:val="24"/>
          <w:lang w:eastAsia="de-DE"/>
        </w:rPr>
        <w:t>xliiii</w:t>
      </w:r>
      <w:proofErr w:type="spellEnd"/>
      <w:r w:rsidRPr="00067D1A">
        <w:rPr>
          <w:rFonts w:ascii="Times New Roman" w:eastAsia="Times New Roman" w:hAnsi="Times New Roman" w:cs="Times New Roman"/>
          <w:b/>
          <w:bCs/>
          <w:sz w:val="24"/>
          <w:szCs w:val="24"/>
          <w:lang w:eastAsia="de-DE"/>
        </w:rPr>
        <w:t>, xiii Blätter, 2 ungezählte Seiten</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 xml:space="preserve">ist keine Seltenheit (Beispiel aus </w:t>
      </w:r>
      <w:hyperlink r:id="rId5" w:history="1">
        <w:r w:rsidRPr="00067D1A">
          <w:rPr>
            <w:rFonts w:ascii="Times New Roman" w:eastAsia="Times New Roman" w:hAnsi="Times New Roman" w:cs="Times New Roman"/>
            <w:color w:val="0000FF"/>
            <w:sz w:val="24"/>
            <w:szCs w:val="24"/>
            <w:u w:val="single"/>
            <w:lang w:eastAsia="de-DE"/>
          </w:rPr>
          <w:t>https://kxp.k10plus.de/DB=2.1/PPNSET?PPN=146391640</w:t>
        </w:r>
      </w:hyperlink>
      <w:r w:rsidRPr="00067D1A">
        <w:rPr>
          <w:rFonts w:ascii="Times New Roman" w:eastAsia="Times New Roman" w:hAnsi="Times New Roman" w:cs="Times New Roman"/>
          <w:sz w:val="24"/>
          <w:szCs w:val="24"/>
          <w:lang w:eastAsia="de-DE"/>
        </w:rPr>
        <w:t>).</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 xml:space="preserve">Dieses Problem ist offensichtlich auch dem </w:t>
      </w:r>
      <w:proofErr w:type="spellStart"/>
      <w:r w:rsidRPr="00067D1A">
        <w:rPr>
          <w:rFonts w:ascii="Times New Roman" w:eastAsia="Times New Roman" w:hAnsi="Times New Roman" w:cs="Times New Roman"/>
          <w:sz w:val="24"/>
          <w:szCs w:val="24"/>
          <w:lang w:eastAsia="de-DE"/>
        </w:rPr>
        <w:t>Bibliographic</w:t>
      </w:r>
      <w:proofErr w:type="spellEnd"/>
      <w:r w:rsidRPr="00067D1A">
        <w:rPr>
          <w:rFonts w:ascii="Times New Roman" w:eastAsia="Times New Roman" w:hAnsi="Times New Roman" w:cs="Times New Roman"/>
          <w:sz w:val="24"/>
          <w:szCs w:val="24"/>
          <w:lang w:eastAsia="de-DE"/>
        </w:rPr>
        <w:t xml:space="preserve"> Standards Committee der Rare Books and </w:t>
      </w:r>
      <w:proofErr w:type="spellStart"/>
      <w:r w:rsidRPr="00067D1A">
        <w:rPr>
          <w:rFonts w:ascii="Times New Roman" w:eastAsia="Times New Roman" w:hAnsi="Times New Roman" w:cs="Times New Roman"/>
          <w:sz w:val="24"/>
          <w:szCs w:val="24"/>
          <w:lang w:eastAsia="de-DE"/>
        </w:rPr>
        <w:t>Manuscript</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Section</w:t>
      </w:r>
      <w:proofErr w:type="spellEnd"/>
      <w:r w:rsidRPr="00067D1A">
        <w:rPr>
          <w:rFonts w:ascii="Times New Roman" w:eastAsia="Times New Roman" w:hAnsi="Times New Roman" w:cs="Times New Roman"/>
          <w:sz w:val="24"/>
          <w:szCs w:val="24"/>
          <w:lang w:eastAsia="de-DE"/>
        </w:rPr>
        <w:t xml:space="preserve"> (RBMS) von ALA beim Erstellen der </w:t>
      </w:r>
      <w:proofErr w:type="spellStart"/>
      <w:r w:rsidRPr="00067D1A">
        <w:rPr>
          <w:rFonts w:ascii="Times New Roman" w:eastAsia="Times New Roman" w:hAnsi="Times New Roman" w:cs="Times New Roman"/>
          <w:sz w:val="24"/>
          <w:szCs w:val="24"/>
          <w:lang w:eastAsia="de-DE"/>
        </w:rPr>
        <w:t>Descriptive</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Cataloging</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of</w:t>
      </w:r>
      <w:proofErr w:type="spellEnd"/>
      <w:r w:rsidRPr="00067D1A">
        <w:rPr>
          <w:rFonts w:ascii="Times New Roman" w:eastAsia="Times New Roman" w:hAnsi="Times New Roman" w:cs="Times New Roman"/>
          <w:sz w:val="24"/>
          <w:szCs w:val="24"/>
          <w:lang w:eastAsia="de-DE"/>
        </w:rPr>
        <w:t xml:space="preserve"> Rare Materials, RDA Edition (DCRMR) bewusst gewesen. Die Regeln für das Erfassen des Umfangs (</w:t>
      </w:r>
      <w:hyperlink r:id="rId6" w:history="1">
        <w:r w:rsidRPr="00067D1A">
          <w:rPr>
            <w:rFonts w:ascii="Times New Roman" w:eastAsia="Times New Roman" w:hAnsi="Times New Roman" w:cs="Times New Roman"/>
            <w:color w:val="0000FF"/>
            <w:sz w:val="24"/>
            <w:szCs w:val="24"/>
            <w:u w:val="single"/>
            <w:lang w:eastAsia="de-DE"/>
          </w:rPr>
          <w:t>https://bsc.rbms.info/DCRMR/phys-desc/Extent-of-manifestation/</w:t>
        </w:r>
      </w:hyperlink>
      <w:r w:rsidRPr="00067D1A">
        <w:rPr>
          <w:rFonts w:ascii="Times New Roman" w:eastAsia="Times New Roman" w:hAnsi="Times New Roman" w:cs="Times New Roman"/>
          <w:sz w:val="24"/>
          <w:szCs w:val="24"/>
          <w:lang w:eastAsia="de-DE"/>
        </w:rPr>
        <w:t>) weichen nämlich z. T. entscheidend von RDA ab. Besonders wird auf die Formulierung „ungezählt“ verzichtet. Stattdessen werden ungezählte Seiten und Blätter durch eckige Klammern kenntlich gemacht: „</w:t>
      </w:r>
      <w:proofErr w:type="spellStart"/>
      <w:r w:rsidRPr="00067D1A">
        <w:rPr>
          <w:rFonts w:ascii="Times New Roman" w:eastAsia="Times New Roman" w:hAnsi="Times New Roman" w:cs="Times New Roman"/>
          <w:sz w:val="24"/>
          <w:szCs w:val="24"/>
          <w:lang w:eastAsia="de-DE"/>
        </w:rPr>
        <w:t>Record</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unnumbered</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pages</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or</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leaves</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by</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enclosing</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the</w:t>
      </w:r>
      <w:proofErr w:type="spellEnd"/>
      <w:r w:rsidRPr="00067D1A">
        <w:rPr>
          <w:rFonts w:ascii="Times New Roman" w:eastAsia="Times New Roman" w:hAnsi="Times New Roman" w:cs="Times New Roman"/>
          <w:sz w:val="24"/>
          <w:szCs w:val="24"/>
          <w:lang w:eastAsia="de-DE"/>
        </w:rPr>
        <w:t xml:space="preserve"> total </w:t>
      </w:r>
      <w:proofErr w:type="spellStart"/>
      <w:r w:rsidRPr="00067D1A">
        <w:rPr>
          <w:rFonts w:ascii="Times New Roman" w:eastAsia="Times New Roman" w:hAnsi="Times New Roman" w:cs="Times New Roman"/>
          <w:sz w:val="24"/>
          <w:szCs w:val="24"/>
          <w:lang w:eastAsia="de-DE"/>
        </w:rPr>
        <w:t>number</w:t>
      </w:r>
      <w:proofErr w:type="spellEnd"/>
      <w:r w:rsidRPr="00067D1A">
        <w:rPr>
          <w:rFonts w:ascii="Times New Roman" w:eastAsia="Times New Roman" w:hAnsi="Times New Roman" w:cs="Times New Roman"/>
          <w:sz w:val="24"/>
          <w:szCs w:val="24"/>
          <w:lang w:eastAsia="de-DE"/>
        </w:rPr>
        <w:t xml:space="preserve"> in </w:t>
      </w:r>
      <w:proofErr w:type="spellStart"/>
      <w:r w:rsidRPr="00067D1A">
        <w:rPr>
          <w:rFonts w:ascii="Times New Roman" w:eastAsia="Times New Roman" w:hAnsi="Times New Roman" w:cs="Times New Roman"/>
          <w:sz w:val="24"/>
          <w:szCs w:val="24"/>
          <w:lang w:eastAsia="de-DE"/>
        </w:rPr>
        <w:t>the</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sequence</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within</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square</w:t>
      </w:r>
      <w:proofErr w:type="spellEnd"/>
      <w:r w:rsidRPr="00067D1A">
        <w:rPr>
          <w:rFonts w:ascii="Times New Roman" w:eastAsia="Times New Roman" w:hAnsi="Times New Roman" w:cs="Times New Roman"/>
          <w:sz w:val="24"/>
          <w:szCs w:val="24"/>
          <w:lang w:eastAsia="de-DE"/>
        </w:rPr>
        <w:t xml:space="preserve"> </w:t>
      </w:r>
      <w:proofErr w:type="spellStart"/>
      <w:r w:rsidRPr="00067D1A">
        <w:rPr>
          <w:rFonts w:ascii="Times New Roman" w:eastAsia="Times New Roman" w:hAnsi="Times New Roman" w:cs="Times New Roman"/>
          <w:sz w:val="24"/>
          <w:szCs w:val="24"/>
          <w:lang w:eastAsia="de-DE"/>
        </w:rPr>
        <w:t>brackets</w:t>
      </w:r>
      <w:proofErr w:type="spellEnd"/>
      <w:r w:rsidRPr="00067D1A">
        <w:rPr>
          <w:rFonts w:ascii="Times New Roman" w:eastAsia="Times New Roman" w:hAnsi="Times New Roman" w:cs="Times New Roman"/>
          <w:sz w:val="24"/>
          <w:szCs w:val="24"/>
          <w:lang w:eastAsia="de-DE"/>
        </w:rPr>
        <w:t>.“ (</w:t>
      </w:r>
      <w:hyperlink r:id="rId7" w:anchor="6214225-unnumbered-pages-or-leaves" w:history="1">
        <w:r w:rsidRPr="00067D1A">
          <w:rPr>
            <w:rFonts w:ascii="Times New Roman" w:eastAsia="Times New Roman" w:hAnsi="Times New Roman" w:cs="Times New Roman"/>
            <w:color w:val="0000FF"/>
            <w:sz w:val="24"/>
            <w:szCs w:val="24"/>
            <w:u w:val="single"/>
            <w:lang w:eastAsia="de-DE"/>
          </w:rPr>
          <w:t>https://bsc.rbms.info/DCRMR/phys-desc/Extent-of-manifestation/#6214225-unnumbered-pages-or-leaves</w:t>
        </w:r>
      </w:hyperlink>
      <w:r w:rsidRPr="00067D1A">
        <w:rPr>
          <w:rFonts w:ascii="Times New Roman" w:eastAsia="Times New Roman" w:hAnsi="Times New Roman" w:cs="Times New Roman"/>
          <w:sz w:val="24"/>
          <w:szCs w:val="24"/>
          <w:lang w:eastAsia="de-DE"/>
        </w:rPr>
        <w:t>).</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Nach DCRMR wird der Umfang entsprechend erfasst als:</w:t>
      </w:r>
    </w:p>
    <w:p w:rsidR="00067D1A" w:rsidRPr="00067D1A" w:rsidRDefault="00067D1A" w:rsidP="00067D1A">
      <w:pPr>
        <w:spacing w:before="100" w:beforeAutospacing="1" w:after="100" w:afterAutospacing="1" w:line="240" w:lineRule="auto"/>
        <w:ind w:left="450"/>
        <w:rPr>
          <w:rFonts w:ascii="Times New Roman" w:eastAsia="Times New Roman" w:hAnsi="Times New Roman" w:cs="Times New Roman"/>
          <w:sz w:val="24"/>
          <w:szCs w:val="24"/>
          <w:lang w:val="fr-FR" w:eastAsia="de-DE"/>
        </w:rPr>
      </w:pPr>
      <w:r w:rsidRPr="00067D1A">
        <w:rPr>
          <w:rFonts w:ascii="Times New Roman" w:eastAsia="Times New Roman" w:hAnsi="Times New Roman" w:cs="Times New Roman"/>
          <w:b/>
          <w:bCs/>
          <w:sz w:val="24"/>
          <w:szCs w:val="24"/>
          <w:lang w:val="fr-FR" w:eastAsia="de-DE"/>
        </w:rPr>
        <w:t xml:space="preserve">[10] pages, [1], cxxxiii, [1] </w:t>
      </w:r>
      <w:proofErr w:type="spellStart"/>
      <w:r w:rsidRPr="00067D1A">
        <w:rPr>
          <w:rFonts w:ascii="Times New Roman" w:eastAsia="Times New Roman" w:hAnsi="Times New Roman" w:cs="Times New Roman"/>
          <w:b/>
          <w:bCs/>
          <w:sz w:val="24"/>
          <w:szCs w:val="24"/>
          <w:lang w:val="fr-FR" w:eastAsia="de-DE"/>
        </w:rPr>
        <w:t>leaves</w:t>
      </w:r>
      <w:proofErr w:type="spellEnd"/>
      <w:r w:rsidRPr="00067D1A">
        <w:rPr>
          <w:rFonts w:ascii="Times New Roman" w:eastAsia="Times New Roman" w:hAnsi="Times New Roman" w:cs="Times New Roman"/>
          <w:b/>
          <w:bCs/>
          <w:sz w:val="24"/>
          <w:szCs w:val="24"/>
          <w:lang w:val="fr-FR" w:eastAsia="de-DE"/>
        </w:rPr>
        <w:t xml:space="preserve">, [8] pages, xxvii, [1] </w:t>
      </w:r>
      <w:proofErr w:type="spellStart"/>
      <w:r w:rsidRPr="00067D1A">
        <w:rPr>
          <w:rFonts w:ascii="Times New Roman" w:eastAsia="Times New Roman" w:hAnsi="Times New Roman" w:cs="Times New Roman"/>
          <w:b/>
          <w:bCs/>
          <w:sz w:val="24"/>
          <w:szCs w:val="24"/>
          <w:lang w:val="fr-FR" w:eastAsia="de-DE"/>
        </w:rPr>
        <w:t>leaves</w:t>
      </w:r>
      <w:proofErr w:type="spellEnd"/>
      <w:r w:rsidRPr="00067D1A">
        <w:rPr>
          <w:rFonts w:ascii="Times New Roman" w:eastAsia="Times New Roman" w:hAnsi="Times New Roman" w:cs="Times New Roman"/>
          <w:b/>
          <w:bCs/>
          <w:sz w:val="24"/>
          <w:szCs w:val="24"/>
          <w:lang w:val="fr-FR" w:eastAsia="de-DE"/>
        </w:rPr>
        <w:t xml:space="preserve">, [14] pages, [1], </w:t>
      </w:r>
      <w:proofErr w:type="spellStart"/>
      <w:r w:rsidRPr="00067D1A">
        <w:rPr>
          <w:rFonts w:ascii="Times New Roman" w:eastAsia="Times New Roman" w:hAnsi="Times New Roman" w:cs="Times New Roman"/>
          <w:b/>
          <w:bCs/>
          <w:sz w:val="24"/>
          <w:szCs w:val="24"/>
          <w:lang w:val="fr-FR" w:eastAsia="de-DE"/>
        </w:rPr>
        <w:t>xliiii</w:t>
      </w:r>
      <w:proofErr w:type="spellEnd"/>
      <w:r w:rsidRPr="00067D1A">
        <w:rPr>
          <w:rFonts w:ascii="Times New Roman" w:eastAsia="Times New Roman" w:hAnsi="Times New Roman" w:cs="Times New Roman"/>
          <w:b/>
          <w:bCs/>
          <w:sz w:val="24"/>
          <w:szCs w:val="24"/>
          <w:lang w:val="fr-FR" w:eastAsia="de-DE"/>
        </w:rPr>
        <w:t xml:space="preserve">, xiii </w:t>
      </w:r>
      <w:proofErr w:type="spellStart"/>
      <w:proofErr w:type="gramStart"/>
      <w:r w:rsidRPr="00067D1A">
        <w:rPr>
          <w:rFonts w:ascii="Times New Roman" w:eastAsia="Times New Roman" w:hAnsi="Times New Roman" w:cs="Times New Roman"/>
          <w:b/>
          <w:bCs/>
          <w:sz w:val="24"/>
          <w:szCs w:val="24"/>
          <w:lang w:val="fr-FR" w:eastAsia="de-DE"/>
        </w:rPr>
        <w:t>leaves</w:t>
      </w:r>
      <w:proofErr w:type="spellEnd"/>
      <w:proofErr w:type="gramEnd"/>
      <w:r w:rsidRPr="00067D1A">
        <w:rPr>
          <w:rFonts w:ascii="Times New Roman" w:eastAsia="Times New Roman" w:hAnsi="Times New Roman" w:cs="Times New Roman"/>
          <w:b/>
          <w:bCs/>
          <w:sz w:val="24"/>
          <w:szCs w:val="24"/>
          <w:lang w:val="fr-FR" w:eastAsia="de-DE"/>
        </w:rPr>
        <w:t>, [2] pages</w:t>
      </w:r>
    </w:p>
    <w:p w:rsidR="00067D1A" w:rsidRPr="00067D1A" w:rsidRDefault="00067D1A" w:rsidP="00067D1A">
      <w:pPr>
        <w:spacing w:before="100" w:beforeAutospacing="1" w:after="100" w:afterAutospacing="1" w:line="240" w:lineRule="auto"/>
        <w:ind w:left="450"/>
        <w:rPr>
          <w:rFonts w:ascii="Times New Roman" w:eastAsia="Times New Roman" w:hAnsi="Times New Roman" w:cs="Times New Roman"/>
          <w:sz w:val="24"/>
          <w:szCs w:val="24"/>
          <w:lang w:eastAsia="de-DE"/>
        </w:rPr>
      </w:pPr>
      <w:r w:rsidRPr="00067D1A">
        <w:rPr>
          <w:rFonts w:ascii="Times New Roman" w:eastAsia="Times New Roman" w:hAnsi="Times New Roman" w:cs="Times New Roman"/>
          <w:b/>
          <w:bCs/>
          <w:sz w:val="24"/>
          <w:szCs w:val="24"/>
          <w:lang w:eastAsia="de-DE"/>
        </w:rPr>
        <w:t xml:space="preserve">[10] Seiten, [1], cxxxiii, [1] Blätter, [8] Seiten, xxvii, [1] Blätter, [14] Seiten, [1], </w:t>
      </w:r>
      <w:proofErr w:type="spellStart"/>
      <w:r w:rsidRPr="00067D1A">
        <w:rPr>
          <w:rFonts w:ascii="Times New Roman" w:eastAsia="Times New Roman" w:hAnsi="Times New Roman" w:cs="Times New Roman"/>
          <w:b/>
          <w:bCs/>
          <w:sz w:val="24"/>
          <w:szCs w:val="24"/>
          <w:lang w:eastAsia="de-DE"/>
        </w:rPr>
        <w:t>xliiii</w:t>
      </w:r>
      <w:proofErr w:type="spellEnd"/>
      <w:r w:rsidRPr="00067D1A">
        <w:rPr>
          <w:rFonts w:ascii="Times New Roman" w:eastAsia="Times New Roman" w:hAnsi="Times New Roman" w:cs="Times New Roman"/>
          <w:b/>
          <w:bCs/>
          <w:sz w:val="24"/>
          <w:szCs w:val="24"/>
          <w:lang w:eastAsia="de-DE"/>
        </w:rPr>
        <w:t>, xiii Blätter, [2] Seiten</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Hierdurch wird die verbale Unterscheidung zwischen gezählten und ungezählten Folgen vermieden. Zusätzlich entfällt in vielen Fällen die Unterscheidung zwischen Plural- und Singular-Benennung, was sowohl die Lesbarkeit als auch die Erfassung vereinfacht.</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Komplizierte Zählungen in dieser Form kommen nur bei Alten Drucken vor, da bei modernen Drucken i.d.R. nur gezählte Folgen berücksichtigt werden. Deshalb möchte die AG Alte Drucke aus Gründen der Vereinfachung und der Internationalisierung diese Konvention aus den DCRMR exklusiv für Alte Drucke in den DACH-Bereich übernehmen.</w:t>
      </w:r>
    </w:p>
    <w:p w:rsidR="00067D1A" w:rsidRPr="00067D1A" w:rsidRDefault="00067D1A" w:rsidP="00067D1A">
      <w:pPr>
        <w:spacing w:before="100" w:beforeAutospacing="1" w:after="100" w:afterAutospacing="1" w:line="240" w:lineRule="auto"/>
        <w:rPr>
          <w:rFonts w:ascii="Times New Roman" w:eastAsia="Times New Roman" w:hAnsi="Times New Roman" w:cs="Times New Roman"/>
          <w:sz w:val="24"/>
          <w:szCs w:val="24"/>
          <w:lang w:eastAsia="de-DE"/>
        </w:rPr>
      </w:pPr>
      <w:r w:rsidRPr="00067D1A">
        <w:rPr>
          <w:rFonts w:ascii="Times New Roman" w:eastAsia="Times New Roman" w:hAnsi="Times New Roman" w:cs="Times New Roman"/>
          <w:sz w:val="24"/>
          <w:szCs w:val="24"/>
          <w:lang w:eastAsia="de-DE"/>
        </w:rPr>
        <w:t xml:space="preserve">Gelegentlich wird argumentiert, dass Umfangsangaben, die eckig geklammert sind, nur schwer verständlich sind. Allerdings wird gemäß RDA an mehreren Stellen kenntlich gemacht, dass Angaben ermittelt wurden. Dies wird im DACH-Bereich durch eckige Klammern gekennzeichnet. Bei Alten Drucken kommt das häufiger z. B. in der </w:t>
      </w:r>
      <w:r w:rsidRPr="00067D1A">
        <w:rPr>
          <w:rFonts w:ascii="Times New Roman" w:eastAsia="Times New Roman" w:hAnsi="Times New Roman" w:cs="Times New Roman"/>
          <w:sz w:val="24"/>
          <w:szCs w:val="24"/>
          <w:lang w:eastAsia="de-DE"/>
        </w:rPr>
        <w:lastRenderedPageBreak/>
        <w:t>Veröffentlichungsangabe vor, wenn in der Ressource z. B. kein Verlag angegeben und auch nicht zu ermitteln ist: „[Verlag nicht ermittelbar]“.</w:t>
      </w:r>
    </w:p>
    <w:p w:rsidR="00067D1A" w:rsidRDefault="00067D1A"/>
    <w:p w:rsidR="00067D1A" w:rsidRDefault="00067D1A"/>
    <w:sectPr w:rsidR="00067D1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587AE5"/>
    <w:multiLevelType w:val="multilevel"/>
    <w:tmpl w:val="121ACB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7D1A"/>
    <w:rsid w:val="00067D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58E77"/>
  <w15:chartTrackingRefBased/>
  <w15:docId w15:val="{803AA796-9245-4CAF-BD18-84CE0D48A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067D1A"/>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067D1A"/>
    <w:rPr>
      <w:b/>
      <w:bCs/>
    </w:rPr>
  </w:style>
  <w:style w:type="character" w:styleId="Hyperlink">
    <w:name w:val="Hyperlink"/>
    <w:basedOn w:val="Absatz-Standardschriftart"/>
    <w:uiPriority w:val="99"/>
    <w:semiHidden/>
    <w:unhideWhenUsed/>
    <w:rsid w:val="00067D1A"/>
    <w:rPr>
      <w:color w:val="0000FF"/>
      <w:u w:val="single"/>
    </w:rPr>
  </w:style>
  <w:style w:type="character" w:customStyle="1" w:styleId="inline-comment-marker">
    <w:name w:val="inline-comment-marker"/>
    <w:basedOn w:val="Absatz-Standardschriftart"/>
    <w:rsid w:val="00067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1193909">
      <w:bodyDiv w:val="1"/>
      <w:marLeft w:val="0"/>
      <w:marRight w:val="0"/>
      <w:marTop w:val="0"/>
      <w:marBottom w:val="0"/>
      <w:divBdr>
        <w:top w:val="none" w:sz="0" w:space="0" w:color="auto"/>
        <w:left w:val="none" w:sz="0" w:space="0" w:color="auto"/>
        <w:bottom w:val="none" w:sz="0" w:space="0" w:color="auto"/>
        <w:right w:val="none" w:sz="0" w:space="0" w:color="auto"/>
      </w:divBdr>
      <w:divsChild>
        <w:div w:id="9394108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sc.rbms.info/DCRMR/phys-desc/Extent-of-manifest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sc.rbms.info/DCRMR/phys-desc/Extent-of-manifestation/" TargetMode="External"/><Relationship Id="rId5" Type="http://schemas.openxmlformats.org/officeDocument/2006/relationships/hyperlink" Target="https://kxp.k10plus.de/DB=2.1/PPNSET?PPN=14639164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450</Words>
  <Characters>2837</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3281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1</cp:revision>
  <dcterms:created xsi:type="dcterms:W3CDTF">2022-04-07T08:53:00Z</dcterms:created>
  <dcterms:modified xsi:type="dcterms:W3CDTF">2022-04-07T08:54:00Z</dcterms:modified>
</cp:coreProperties>
</file>