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A8E00F" w14:textId="77777777" w:rsidR="005D0D0A" w:rsidRPr="00D15B96" w:rsidRDefault="00534149" w:rsidP="00534149">
      <w:pPr>
        <w:jc w:val="center"/>
        <w:rPr>
          <w:b/>
        </w:rPr>
      </w:pPr>
      <w:r w:rsidRPr="00D15B96">
        <w:rPr>
          <w:b/>
        </w:rPr>
        <w:t>Entwurf Inkunabeln</w:t>
      </w:r>
    </w:p>
    <w:p w14:paraId="31A89EAE" w14:textId="77777777" w:rsidR="00534149" w:rsidRDefault="002945D3" w:rsidP="00D0104F">
      <w:pPr>
        <w:spacing w:after="0" w:line="276" w:lineRule="auto"/>
      </w:pPr>
      <w:r>
        <w:t xml:space="preserve">Dieses Kapitel </w:t>
      </w:r>
      <w:r w:rsidR="009C36A7">
        <w:t xml:space="preserve">ist </w:t>
      </w:r>
      <w:r w:rsidR="00B57494">
        <w:t>als</w:t>
      </w:r>
      <w:r w:rsidR="009C36A7">
        <w:t xml:space="preserve"> Hilfestellung </w:t>
      </w:r>
      <w:r>
        <w:t xml:space="preserve">für </w:t>
      </w:r>
      <w:r w:rsidR="00EB74EB">
        <w:t xml:space="preserve">die </w:t>
      </w:r>
      <w:r>
        <w:t>Formalkatalogisier</w:t>
      </w:r>
      <w:r w:rsidR="00EB74EB">
        <w:t>ung</w:t>
      </w:r>
      <w:r>
        <w:t xml:space="preserve"> </w:t>
      </w:r>
      <w:r w:rsidR="00EB74EB">
        <w:t xml:space="preserve">von Inkunabeln </w:t>
      </w:r>
      <w:r>
        <w:t xml:space="preserve">in einer Verbundumgebung </w:t>
      </w:r>
      <w:r w:rsidR="009C36A7">
        <w:t>konzipiert</w:t>
      </w:r>
      <w:r w:rsidR="00EB74EB">
        <w:t xml:space="preserve"> – es </w:t>
      </w:r>
      <w:r w:rsidR="00B57494">
        <w:t xml:space="preserve">ist nicht dafür gedacht, die </w:t>
      </w:r>
      <w:proofErr w:type="spellStart"/>
      <w:r w:rsidR="00B57494">
        <w:t>traditionierte</w:t>
      </w:r>
      <w:proofErr w:type="spellEnd"/>
      <w:r w:rsidR="00B57494">
        <w:t xml:space="preserve"> wissenschaftliche Tiefenerschließung eines </w:t>
      </w:r>
      <w:proofErr w:type="spellStart"/>
      <w:r w:rsidR="00B57494">
        <w:t>Inkunabelkataloges</w:t>
      </w:r>
      <w:proofErr w:type="spellEnd"/>
      <w:r w:rsidR="00B57494">
        <w:t xml:space="preserve"> zu ersetzen.</w:t>
      </w:r>
    </w:p>
    <w:p w14:paraId="2CDC3D06" w14:textId="77777777" w:rsidR="002945D3" w:rsidRDefault="002945D3" w:rsidP="00D0104F">
      <w:pPr>
        <w:spacing w:after="0" w:line="276" w:lineRule="auto"/>
      </w:pPr>
    </w:p>
    <w:p w14:paraId="181DD16B" w14:textId="77777777" w:rsidR="00D0104F" w:rsidRDefault="00D0104F" w:rsidP="00D0104F">
      <w:pPr>
        <w:spacing w:after="0" w:line="276" w:lineRule="auto"/>
      </w:pPr>
      <w:r>
        <w:t xml:space="preserve">Als Inkunabeln (dt. Wiegendrucke) werden </w:t>
      </w:r>
      <w:proofErr w:type="gramStart"/>
      <w:r>
        <w:t>die Buch</w:t>
      </w:r>
      <w:r w:rsidR="00A82B46">
        <w:t>- und Einblatt</w:t>
      </w:r>
      <w:r>
        <w:t>drucke</w:t>
      </w:r>
      <w:proofErr w:type="gramEnd"/>
      <w:r>
        <w:t xml:space="preserve"> </w:t>
      </w:r>
      <w:r w:rsidR="00A82B46">
        <w:t xml:space="preserve">von der Erfindung des Buchdrucks Mitte des 15. Jh. </w:t>
      </w:r>
      <w:r>
        <w:t>bis einschließlich Erscheinungsjahr 1500 bezeichnet.</w:t>
      </w:r>
      <w:r w:rsidR="009D0748">
        <w:t xml:space="preserve"> Postinkunabeln oder auch Frühdrucke werden </w:t>
      </w:r>
      <w:r w:rsidR="00661397">
        <w:t xml:space="preserve">die </w:t>
      </w:r>
      <w:r w:rsidR="009D0748">
        <w:t xml:space="preserve">Drucke bis einschließlich Erscheinungsjahr 1520 </w:t>
      </w:r>
      <w:r w:rsidR="00661397">
        <w:t>(gelegentlich auch später</w:t>
      </w:r>
      <w:r w:rsidR="001213EE">
        <w:t>e Drucke</w:t>
      </w:r>
      <w:r w:rsidR="00661397">
        <w:t xml:space="preserve">) </w:t>
      </w:r>
      <w:r w:rsidR="009D0748">
        <w:t>genannt.</w:t>
      </w:r>
    </w:p>
    <w:p w14:paraId="4193B4E5" w14:textId="0094A4BA" w:rsidR="00FE2693" w:rsidRDefault="009D0748" w:rsidP="00D0104F">
      <w:pPr>
        <w:spacing w:after="0" w:line="276" w:lineRule="auto"/>
      </w:pPr>
      <w:proofErr w:type="spellStart"/>
      <w:r>
        <w:t>Inkunabeldrucke</w:t>
      </w:r>
      <w:proofErr w:type="spellEnd"/>
      <w:r w:rsidR="00D0104F">
        <w:t xml:space="preserve"> sind </w:t>
      </w:r>
      <w:r w:rsidR="0041350A">
        <w:t xml:space="preserve">zu Anfang </w:t>
      </w:r>
      <w:r w:rsidR="00D0104F">
        <w:t xml:space="preserve">oft ohne Titelblatt und Kolophon </w:t>
      </w:r>
      <w:r w:rsidR="0041350A">
        <w:t>erschienen. Eine Seitenzählung liegt nicht immer vor</w:t>
      </w:r>
      <w:r w:rsidR="00DF0F88">
        <w:t>,</w:t>
      </w:r>
      <w:r w:rsidR="0041350A">
        <w:t xml:space="preserve"> während eine Lagenzählung bereits </w:t>
      </w:r>
      <w:r w:rsidR="00FE2693">
        <w:t xml:space="preserve">teilweise </w:t>
      </w:r>
      <w:r w:rsidR="0041350A">
        <w:t xml:space="preserve">von der Frühzeit an verwendet wurde. </w:t>
      </w:r>
      <w:r w:rsidR="00066D04">
        <w:t xml:space="preserve">Auch Kustoden sind eher selten vorhanden. </w:t>
      </w:r>
    </w:p>
    <w:p w14:paraId="1D6FE73E" w14:textId="33920D0E" w:rsidR="00231A84" w:rsidRDefault="00FE2693" w:rsidP="00D0104F">
      <w:pPr>
        <w:spacing w:after="0" w:line="276" w:lineRule="auto"/>
      </w:pPr>
      <w:r>
        <w:t xml:space="preserve">Da die Titelansetzung in </w:t>
      </w:r>
      <w:proofErr w:type="spellStart"/>
      <w:r>
        <w:t>Inkunabelverzeichnissen</w:t>
      </w:r>
      <w:proofErr w:type="spellEnd"/>
      <w:r>
        <w:t xml:space="preserve"> i. d. R. genormt erfolgt, ist die Identifizierung eines Werkes und dessen Ausgabe auch bei einem vollständig erhaltenen Exemplar größtenteils nur </w:t>
      </w:r>
      <w:proofErr w:type="gramStart"/>
      <w:r>
        <w:t>mit zeitaufwendigen bibliographische Recherchen</w:t>
      </w:r>
      <w:proofErr w:type="gramEnd"/>
      <w:r>
        <w:t xml:space="preserve"> möglich. </w:t>
      </w:r>
      <w:r w:rsidR="00D0104F">
        <w:t>Es empfiehlt sich</w:t>
      </w:r>
      <w:r w:rsidR="00596C9A">
        <w:t xml:space="preserve"> daher</w:t>
      </w:r>
      <w:r w:rsidR="00D0104F">
        <w:t xml:space="preserve">, dafür bereits vorhandene </w:t>
      </w:r>
      <w:proofErr w:type="spellStart"/>
      <w:r w:rsidR="00D0104F">
        <w:t>Inkunabelkataloge</w:t>
      </w:r>
      <w:proofErr w:type="spellEnd"/>
      <w:r w:rsidR="00D0104F">
        <w:t>, -listen o.</w:t>
      </w:r>
      <w:r w:rsidR="001213EE">
        <w:t xml:space="preserve"> </w:t>
      </w:r>
      <w:r w:rsidR="00D0104F">
        <w:t xml:space="preserve">ä. des </w:t>
      </w:r>
      <w:r w:rsidR="009D0748">
        <w:t xml:space="preserve">eigenen </w:t>
      </w:r>
      <w:r w:rsidR="00D0104F">
        <w:t>Bestandes zu nutzen</w:t>
      </w:r>
      <w:r w:rsidR="00D15B96">
        <w:t>.</w:t>
      </w:r>
      <w:r w:rsidR="0041350A">
        <w:t xml:space="preserve"> </w:t>
      </w:r>
      <w:r w:rsidR="00AF3DB1">
        <w:t>Stehen</w:t>
      </w:r>
      <w:r w:rsidR="00D0104F">
        <w:t xml:space="preserve"> für eine geplante Katalogisierung im Verbund Hilfsmittel dieser Art nicht zur Verfügung, sollte der </w:t>
      </w:r>
      <w:r w:rsidR="00FA3184">
        <w:t xml:space="preserve">deutsche </w:t>
      </w:r>
      <w:r w:rsidR="00D0104F">
        <w:t xml:space="preserve">Gesamtkatalog der Wiegendrucke kurz GW </w:t>
      </w:r>
      <w:r w:rsidR="00FA3184">
        <w:t xml:space="preserve">genannt </w:t>
      </w:r>
      <w:r w:rsidR="00D0104F">
        <w:t xml:space="preserve">( </w:t>
      </w:r>
      <w:hyperlink r:id="rId4" w:history="1">
        <w:r w:rsidR="00D0104F" w:rsidRPr="00E71577">
          <w:rPr>
            <w:rStyle w:val="Hyperlink"/>
          </w:rPr>
          <w:t>https://www.gesamtkatalogderwiegendrucke.de/</w:t>
        </w:r>
      </w:hyperlink>
      <w:r w:rsidR="00D0104F">
        <w:t xml:space="preserve"> ) um Hilfe bei der Identifizierung gebeten werden (</w:t>
      </w:r>
      <w:proofErr w:type="spellStart"/>
      <w:r w:rsidR="00D0104F">
        <w:t>e-mail</w:t>
      </w:r>
      <w:proofErr w:type="spellEnd"/>
      <w:r w:rsidR="00D0104F">
        <w:t xml:space="preserve">: </w:t>
      </w:r>
      <w:hyperlink r:id="rId5" w:history="1">
        <w:r w:rsidR="00D0104F">
          <w:rPr>
            <w:rStyle w:val="Hyperlink"/>
          </w:rPr>
          <w:t>gw@sbb.spk-berlin.de</w:t>
        </w:r>
      </w:hyperlink>
      <w:r w:rsidR="00D15B96">
        <w:t xml:space="preserve"> ). </w:t>
      </w:r>
      <w:r w:rsidR="0041350A">
        <w:t>Es ist möglich, dass dort ältere Unterlagen vorhanden sind, die in der eigenen Bibliothek durch Personalwechsel o. ä. nicht überliefert wurden.</w:t>
      </w:r>
    </w:p>
    <w:p w14:paraId="690700D3" w14:textId="77777777" w:rsidR="00DA3312" w:rsidRDefault="00DA3312" w:rsidP="00D0104F">
      <w:pPr>
        <w:spacing w:after="0" w:line="276" w:lineRule="auto"/>
      </w:pPr>
      <w:r>
        <w:t xml:space="preserve">Auch bei der Identifizierung von bisher im GW oder ISTC nicht verzeichneten </w:t>
      </w:r>
      <w:proofErr w:type="spellStart"/>
      <w:r>
        <w:t>Inkunabelausgaben</w:t>
      </w:r>
      <w:proofErr w:type="spellEnd"/>
      <w:r w:rsidR="00066D04">
        <w:t>, Fragmenten in Sammelbänden und dergleichen</w:t>
      </w:r>
      <w:r>
        <w:t xml:space="preserve"> empfiehlt </w:t>
      </w:r>
      <w:r w:rsidR="0011111E">
        <w:t>sich</w:t>
      </w:r>
      <w:r>
        <w:t xml:space="preserve"> die Hilfe</w:t>
      </w:r>
      <w:r w:rsidR="00066D04">
        <w:t>stellung</w:t>
      </w:r>
      <w:r>
        <w:t xml:space="preserve"> </w:t>
      </w:r>
      <w:r w:rsidR="00066D04">
        <w:t>der</w:t>
      </w:r>
      <w:r>
        <w:t xml:space="preserve"> Experten</w:t>
      </w:r>
      <w:r w:rsidR="00066D04">
        <w:t xml:space="preserve"> beim GW</w:t>
      </w:r>
      <w:r>
        <w:t>.</w:t>
      </w:r>
    </w:p>
    <w:p w14:paraId="4CB78D8C" w14:textId="77777777" w:rsidR="00534149" w:rsidRDefault="002D4092" w:rsidP="00D0104F">
      <w:pPr>
        <w:spacing w:after="0" w:line="276" w:lineRule="auto"/>
      </w:pPr>
      <w:r>
        <w:t>Im GW</w:t>
      </w:r>
      <w:r w:rsidR="00D15B96">
        <w:t xml:space="preserve"> sind auch digitalisierte Exemplare</w:t>
      </w:r>
      <w:r w:rsidR="00A42040">
        <w:t xml:space="preserve"> und der</w:t>
      </w:r>
      <w:r w:rsidR="00AF3DB1">
        <w:t xml:space="preserve"> internationale </w:t>
      </w:r>
      <w:proofErr w:type="spellStart"/>
      <w:r w:rsidR="00AF3DB1">
        <w:t>Incunabula</w:t>
      </w:r>
      <w:proofErr w:type="spellEnd"/>
      <w:r w:rsidR="00AF3DB1">
        <w:t xml:space="preserve"> Short Title Catalogue kurz ISTC</w:t>
      </w:r>
      <w:r w:rsidR="00A82B46">
        <w:t xml:space="preserve"> genannt</w:t>
      </w:r>
      <w:r w:rsidR="00FA3184">
        <w:t xml:space="preserve"> ( </w:t>
      </w:r>
      <w:hyperlink r:id="rId6" w:history="1">
        <w:r w:rsidR="00FA3184" w:rsidRPr="00E71577">
          <w:rPr>
            <w:rStyle w:val="Hyperlink"/>
          </w:rPr>
          <w:t>https://data.cerl.org/istc/_search</w:t>
        </w:r>
      </w:hyperlink>
      <w:r w:rsidR="00FA3184">
        <w:t xml:space="preserve"> )</w:t>
      </w:r>
      <w:r w:rsidR="00A42040">
        <w:t xml:space="preserve"> verlinkt</w:t>
      </w:r>
      <w:r w:rsidR="00AF3DB1">
        <w:t xml:space="preserve">. </w:t>
      </w:r>
      <w:r w:rsidR="00A42040">
        <w:t>Auch dieser bietet Verknüpfungen</w:t>
      </w:r>
      <w:r w:rsidR="000163C7">
        <w:t xml:space="preserve"> zu</w:t>
      </w:r>
      <w:r w:rsidR="00AF3DB1">
        <w:t xml:space="preserve"> Reproduktionen und andere</w:t>
      </w:r>
      <w:r w:rsidR="000163C7">
        <w:t>n</w:t>
      </w:r>
      <w:r w:rsidR="00AF3DB1">
        <w:t xml:space="preserve"> </w:t>
      </w:r>
      <w:proofErr w:type="spellStart"/>
      <w:r w:rsidR="00AF3DB1">
        <w:t>Inkunabel</w:t>
      </w:r>
      <w:r w:rsidR="00A42040">
        <w:t>katalogen</w:t>
      </w:r>
      <w:proofErr w:type="spellEnd"/>
      <w:r w:rsidR="00AF3DB1">
        <w:t xml:space="preserve"> wie </w:t>
      </w:r>
      <w:r w:rsidR="009D0748">
        <w:t>z.</w:t>
      </w:r>
      <w:r w:rsidR="00A82B46">
        <w:t xml:space="preserve"> </w:t>
      </w:r>
      <w:r w:rsidR="009D0748">
        <w:t xml:space="preserve">B. </w:t>
      </w:r>
      <w:r w:rsidR="000163C7">
        <w:t xml:space="preserve">dem GW </w:t>
      </w:r>
      <w:r w:rsidR="00A42040">
        <w:t>an</w:t>
      </w:r>
      <w:r w:rsidR="00AF3DB1">
        <w:t>.</w:t>
      </w:r>
    </w:p>
    <w:p w14:paraId="38BE071B" w14:textId="77777777" w:rsidR="00A42040" w:rsidRPr="00A42040" w:rsidRDefault="00A42040" w:rsidP="00D0104F">
      <w:pPr>
        <w:spacing w:after="0" w:line="276" w:lineRule="auto"/>
      </w:pPr>
    </w:p>
    <w:p w14:paraId="6D236914" w14:textId="77777777" w:rsidR="00905533" w:rsidRPr="00A42040" w:rsidRDefault="00A42040" w:rsidP="00D0104F">
      <w:pPr>
        <w:spacing w:after="0" w:line="276" w:lineRule="auto"/>
        <w:rPr>
          <w:b/>
        </w:rPr>
      </w:pPr>
      <w:r>
        <w:rPr>
          <w:b/>
        </w:rPr>
        <w:t>Kollationierung</w:t>
      </w:r>
    </w:p>
    <w:p w14:paraId="02830F0B" w14:textId="77777777" w:rsidR="00905533" w:rsidRDefault="00A42040" w:rsidP="00D0104F">
      <w:pPr>
        <w:spacing w:after="0" w:line="276" w:lineRule="auto"/>
      </w:pPr>
      <w:r>
        <w:t>Vor oder während der Katalogisierung sollte das vorhandene Exemplar auf Vollständigkeit überprüft werden, wenn das nicht bereits in existierenden Katalogen etc. geschehen ist.</w:t>
      </w:r>
    </w:p>
    <w:p w14:paraId="78E4C653" w14:textId="77777777" w:rsidR="00A42040" w:rsidRDefault="00A42040" w:rsidP="00D0104F">
      <w:pPr>
        <w:spacing w:after="0" w:line="276" w:lineRule="auto"/>
      </w:pPr>
      <w:r>
        <w:t xml:space="preserve">Man sollte dafür möglichst die Reproduktion eines vollständigen Exemplars auswählen. Da Inkunabeln </w:t>
      </w:r>
      <w:r w:rsidR="00066D04">
        <w:t>nicht immer eine</w:t>
      </w:r>
      <w:r>
        <w:t xml:space="preserve"> Seitenzählung, Signaturformel oder Kustoden aufweisen, ist dafür ein nicht unwesentlicher Zeitaufwand einzuplanen.</w:t>
      </w:r>
    </w:p>
    <w:p w14:paraId="7B995A3C" w14:textId="77777777" w:rsidR="00AC2883" w:rsidRDefault="00AC2883" w:rsidP="00D0104F">
      <w:pPr>
        <w:spacing w:after="0" w:line="276" w:lineRule="auto"/>
      </w:pPr>
      <w:r>
        <w:t>Sollte während der Kollationierung der Verdacht auf eine Druckvariante zur im GW beschriebenen Ausgabe entstehen, sollte d</w:t>
      </w:r>
      <w:r w:rsidR="00066D04">
        <w:t>er</w:t>
      </w:r>
      <w:r>
        <w:t xml:space="preserve"> GW um Hilfe bei der Identifizierung gebeten werden.</w:t>
      </w:r>
    </w:p>
    <w:p w14:paraId="452798EC" w14:textId="77777777" w:rsidR="00A42040" w:rsidRDefault="00A42040" w:rsidP="00D0104F">
      <w:pPr>
        <w:spacing w:after="0" w:line="276" w:lineRule="auto"/>
      </w:pPr>
      <w:r>
        <w:t xml:space="preserve">Sollte eine Digitalisierung geplant sein, empfiehlt es sich – wenn nicht bereits </w:t>
      </w:r>
      <w:r w:rsidR="00DE1977">
        <w:t>in früheren Jahrhunderten geschehen – die vorhandenen Blätter vorsichtig mit einem weichen Bleistift (mindestens 4B) durchzunummerieren. Ohne hervorragende Lateinkenntnisse wäre eine fehlerfreie Strukturierung im jeweiligen Digitalisierungsprogramm ansonsten wohl nur im direkten Vergleich mit dem Original durchführbar.</w:t>
      </w:r>
    </w:p>
    <w:p w14:paraId="1B226995" w14:textId="77777777" w:rsidR="00905533" w:rsidRDefault="00905533" w:rsidP="00D0104F">
      <w:pPr>
        <w:spacing w:after="0" w:line="276" w:lineRule="auto"/>
      </w:pPr>
    </w:p>
    <w:p w14:paraId="1239366C" w14:textId="77777777" w:rsidR="00A82B46" w:rsidRPr="000163C7" w:rsidRDefault="000163C7" w:rsidP="00D0104F">
      <w:pPr>
        <w:spacing w:after="0" w:line="276" w:lineRule="auto"/>
        <w:rPr>
          <w:b/>
        </w:rPr>
      </w:pPr>
      <w:r w:rsidRPr="000163C7">
        <w:rPr>
          <w:b/>
        </w:rPr>
        <w:t>Bevorzugter Titel</w:t>
      </w:r>
    </w:p>
    <w:p w14:paraId="37E9970A" w14:textId="77777777" w:rsidR="000958A8" w:rsidRDefault="000958A8" w:rsidP="00D0104F">
      <w:pPr>
        <w:spacing w:after="0" w:line="276" w:lineRule="auto"/>
        <w:rPr>
          <w:color w:val="FF0000"/>
        </w:rPr>
      </w:pPr>
      <w:r>
        <w:rPr>
          <w:color w:val="FF0000"/>
        </w:rPr>
        <w:t xml:space="preserve">Hier ringe ich noch mit der Entscheidung, ob bei unterschiedlichen Titelansetzungen dem GW oder dem ISTC der Vorzug gegeben werden sollte. Ich hätte dem GW den Vorzug gegeben, aber lt. </w:t>
      </w:r>
      <w:r>
        <w:rPr>
          <w:color w:val="FF0000"/>
        </w:rPr>
        <w:lastRenderedPageBreak/>
        <w:t>Auskunft von Dr. Eisermann gibt es dort Nummern mit vorangestelltem M und Nummern mit nachgestelltem N, die noch nicht abschließend redaktionell bearbeitet sind. Ich habe zurückgefragt, ob bei diesen Nummern noch mit einer abgeänderten Titelnormierung zu rechnen ist. Falls ja, würde ich den ISTC vorziehen.</w:t>
      </w:r>
    </w:p>
    <w:p w14:paraId="17543141" w14:textId="77777777" w:rsidR="00066D04" w:rsidRDefault="000958A8" w:rsidP="00D0104F">
      <w:pPr>
        <w:spacing w:after="0" w:line="276" w:lineRule="auto"/>
        <w:rPr>
          <w:color w:val="FF0000"/>
        </w:rPr>
      </w:pPr>
      <w:r>
        <w:rPr>
          <w:color w:val="FF0000"/>
        </w:rPr>
        <w:t>Eine Verknüpfung mit einem GND-</w:t>
      </w:r>
      <w:proofErr w:type="spellStart"/>
      <w:r>
        <w:rPr>
          <w:color w:val="FF0000"/>
        </w:rPr>
        <w:t>Werksatz</w:t>
      </w:r>
      <w:proofErr w:type="spellEnd"/>
      <w:r>
        <w:rPr>
          <w:color w:val="FF0000"/>
        </w:rPr>
        <w:t>, dessen Titelansetzung von GW oder ISTC abweicht, würde ich ausschließen.</w:t>
      </w:r>
    </w:p>
    <w:p w14:paraId="13F23D31" w14:textId="77777777" w:rsidR="000958A8" w:rsidRPr="000958A8" w:rsidRDefault="000958A8" w:rsidP="00D0104F">
      <w:pPr>
        <w:spacing w:after="0" w:line="276" w:lineRule="auto"/>
        <w:rPr>
          <w:color w:val="FF0000"/>
        </w:rPr>
      </w:pPr>
      <w:r>
        <w:rPr>
          <w:color w:val="FF0000"/>
        </w:rPr>
        <w:t>Problematisch ist auch noch, dass es im GW und ISTC eine Zuschreibung zu unterschiedlichen Verfassern geben kann. Da würde ich (s.a. Punkt Verfasser) eine Anfrage beim GW, wo die Experten sitzen, empfehlen.</w:t>
      </w:r>
    </w:p>
    <w:p w14:paraId="4F224B94" w14:textId="77777777" w:rsidR="000163C7" w:rsidRDefault="000958A8" w:rsidP="00D0104F">
      <w:pPr>
        <w:spacing w:after="0" w:line="276" w:lineRule="auto"/>
      </w:pPr>
      <w:r>
        <w:t xml:space="preserve">Alle ermittelten </w:t>
      </w:r>
      <w:r w:rsidR="000163C7">
        <w:t>Abweichungen: 370a</w:t>
      </w:r>
    </w:p>
    <w:p w14:paraId="71BA513E" w14:textId="77777777" w:rsidR="000163C7" w:rsidRDefault="000163C7" w:rsidP="00D0104F">
      <w:pPr>
        <w:spacing w:after="0" w:line="276" w:lineRule="auto"/>
      </w:pPr>
    </w:p>
    <w:p w14:paraId="13CBA79F" w14:textId="77777777" w:rsidR="00876645" w:rsidRPr="000163C7" w:rsidRDefault="000163C7" w:rsidP="00D0104F">
      <w:pPr>
        <w:spacing w:after="0" w:line="276" w:lineRule="auto"/>
        <w:rPr>
          <w:b/>
        </w:rPr>
      </w:pPr>
      <w:r w:rsidRPr="000163C7">
        <w:rPr>
          <w:b/>
        </w:rPr>
        <w:t>Verfasser, beteiligte Personen</w:t>
      </w:r>
    </w:p>
    <w:p w14:paraId="06EA280D" w14:textId="77777777" w:rsidR="002F364E" w:rsidRDefault="000958A8" w:rsidP="00D0104F">
      <w:pPr>
        <w:spacing w:after="0" w:line="276" w:lineRule="auto"/>
        <w:rPr>
          <w:color w:val="FF0000"/>
        </w:rPr>
      </w:pPr>
      <w:r>
        <w:rPr>
          <w:color w:val="FF0000"/>
        </w:rPr>
        <w:t>Bei unterschiedlichen Verfasserzuschreibungen in GW und ISTC: beim GW anfragen</w:t>
      </w:r>
    </w:p>
    <w:p w14:paraId="600F316B" w14:textId="77777777" w:rsidR="000163C7" w:rsidRDefault="00B93B0F" w:rsidP="00D0104F">
      <w:pPr>
        <w:spacing w:after="0" w:line="276" w:lineRule="auto"/>
      </w:pPr>
      <w:r>
        <w:t>Wenn in externen Informationsquellen mutmaßliche geistige Schöpfer oder sonstige beteiligte Personen ermittelt wurden, sollten diese mit der GND verknüpft werden.</w:t>
      </w:r>
    </w:p>
    <w:p w14:paraId="41E7C6A3" w14:textId="77777777" w:rsidR="00B93B0F" w:rsidRDefault="00B93B0F" w:rsidP="00D0104F">
      <w:pPr>
        <w:spacing w:after="0" w:line="276" w:lineRule="auto"/>
      </w:pPr>
    </w:p>
    <w:p w14:paraId="73BC4336" w14:textId="77777777" w:rsidR="000163C7" w:rsidRPr="000163C7" w:rsidRDefault="000163C7" w:rsidP="00D0104F">
      <w:pPr>
        <w:spacing w:after="0" w:line="276" w:lineRule="auto"/>
        <w:rPr>
          <w:b/>
        </w:rPr>
      </w:pPr>
      <w:r w:rsidRPr="000163C7">
        <w:rPr>
          <w:b/>
        </w:rPr>
        <w:t>Körperschaften</w:t>
      </w:r>
    </w:p>
    <w:p w14:paraId="186B7351" w14:textId="77777777" w:rsidR="00534149" w:rsidRPr="008677A0" w:rsidRDefault="00AE01FA" w:rsidP="00D0104F">
      <w:pPr>
        <w:spacing w:after="0" w:line="276" w:lineRule="auto"/>
        <w:rPr>
          <w:color w:val="FF0000"/>
        </w:rPr>
      </w:pPr>
      <w:r w:rsidRPr="008677A0">
        <w:rPr>
          <w:color w:val="FF0000"/>
        </w:rPr>
        <w:t>evtl. Neuansetzung bei religiösen, politischen oder geographischen Körperschaften</w:t>
      </w:r>
      <w:r w:rsidR="000163C7" w:rsidRPr="008677A0">
        <w:rPr>
          <w:color w:val="FF0000"/>
        </w:rPr>
        <w:t xml:space="preserve"> erforderlich</w:t>
      </w:r>
      <w:r w:rsidR="000958A8" w:rsidRPr="008677A0">
        <w:rPr>
          <w:color w:val="FF0000"/>
        </w:rPr>
        <w:t xml:space="preserve"> – ich würde weglassen empfehlen, falls noch nicht in der GND angesetzt</w:t>
      </w:r>
    </w:p>
    <w:p w14:paraId="6D33B846" w14:textId="77777777" w:rsidR="002E2AE3" w:rsidRDefault="002E2AE3" w:rsidP="00D0104F">
      <w:pPr>
        <w:spacing w:after="0" w:line="276" w:lineRule="auto"/>
      </w:pPr>
    </w:p>
    <w:p w14:paraId="74314B10" w14:textId="77777777" w:rsidR="00CF5CBC" w:rsidRPr="000163C7" w:rsidRDefault="000958A8" w:rsidP="00D0104F">
      <w:pPr>
        <w:spacing w:after="0" w:line="276" w:lineRule="auto"/>
        <w:rPr>
          <w:b/>
        </w:rPr>
      </w:pPr>
      <w:r>
        <w:rPr>
          <w:b/>
        </w:rPr>
        <w:t>Hauptt</w:t>
      </w:r>
      <w:r w:rsidR="005D272F">
        <w:rPr>
          <w:b/>
        </w:rPr>
        <w:t>itel</w:t>
      </w:r>
    </w:p>
    <w:p w14:paraId="2219ABE9" w14:textId="77777777" w:rsidR="000006EA" w:rsidRDefault="000163C7" w:rsidP="00D0104F">
      <w:pPr>
        <w:spacing w:after="0" w:line="276" w:lineRule="auto"/>
      </w:pPr>
      <w:r>
        <w:t xml:space="preserve">Wenn ein </w:t>
      </w:r>
      <w:r w:rsidR="00CF5CBC">
        <w:t xml:space="preserve">Titelblatt </w:t>
      </w:r>
      <w:r w:rsidR="000006EA">
        <w:t>gedruckt wurde</w:t>
      </w:r>
      <w:r>
        <w:t>, wird dieses für d</w:t>
      </w:r>
      <w:r w:rsidR="003F57D6">
        <w:t>ie Angabe des</w:t>
      </w:r>
      <w:r>
        <w:t xml:space="preserve"> Haup</w:t>
      </w:r>
      <w:r w:rsidR="005D272F">
        <w:t>t</w:t>
      </w:r>
      <w:r>
        <w:t>titel</w:t>
      </w:r>
      <w:r w:rsidR="003F57D6">
        <w:t>s</w:t>
      </w:r>
      <w:r>
        <w:t xml:space="preserve"> herangezogen. </w:t>
      </w:r>
      <w:r w:rsidR="000006EA">
        <w:t xml:space="preserve">Wenn </w:t>
      </w:r>
      <w:r w:rsidR="00927DE5">
        <w:t>kein Titelblatt existiert (das sollte anhand eines Digitalisats einer vollständig erhaltenen Ausgabe überprüft werden)</w:t>
      </w:r>
      <w:r w:rsidR="000006EA">
        <w:t>, wird der Haup</w:t>
      </w:r>
      <w:r w:rsidR="005D272F">
        <w:t>t</w:t>
      </w:r>
      <w:r w:rsidR="000006EA">
        <w:t xml:space="preserve">titel mit der Ansetzung </w:t>
      </w:r>
      <w:r w:rsidR="000006EA" w:rsidRPr="00927DE5">
        <w:rPr>
          <w:color w:val="FF0000"/>
        </w:rPr>
        <w:t xml:space="preserve">im GW </w:t>
      </w:r>
      <w:r w:rsidR="00927DE5">
        <w:rPr>
          <w:color w:val="FF0000"/>
        </w:rPr>
        <w:t>oder ISTC (hier noch die Reihenfolge festlegen – s.o. bevorzugter Titel)</w:t>
      </w:r>
      <w:r w:rsidR="000006EA">
        <w:t xml:space="preserve"> fingiert und eckig geklammert. Auf die Quelle wird in einer Anmerkung hingewiesen</w:t>
      </w:r>
      <w:r w:rsidR="003F57D6">
        <w:t>, z. B.</w:t>
      </w:r>
      <w:r w:rsidR="000006EA">
        <w:t xml:space="preserve"> </w:t>
      </w:r>
      <w:r w:rsidR="000006EA" w:rsidRPr="003F57D6">
        <w:rPr>
          <w:i/>
        </w:rPr>
        <w:t>Titel</w:t>
      </w:r>
      <w:r w:rsidR="00D30517">
        <w:rPr>
          <w:i/>
        </w:rPr>
        <w:t>fingierung</w:t>
      </w:r>
      <w:r w:rsidR="000006EA" w:rsidRPr="003F57D6">
        <w:rPr>
          <w:i/>
        </w:rPr>
        <w:t xml:space="preserve"> entspricht GW</w:t>
      </w:r>
      <w:r w:rsidR="000006EA">
        <w:t>.</w:t>
      </w:r>
      <w:r w:rsidR="00927DE5">
        <w:t xml:space="preserve"> Auch die abweichende </w:t>
      </w:r>
      <w:r w:rsidR="00D30517">
        <w:t xml:space="preserve">Titelnormierung sollte in dieser Anmerkung angegeben werden, z.B. </w:t>
      </w:r>
      <w:r w:rsidR="00D30517" w:rsidRPr="00D30517">
        <w:rPr>
          <w:i/>
        </w:rPr>
        <w:t>Titelansetzung im ISTC:</w:t>
      </w:r>
      <w:r w:rsidR="00D30517">
        <w:rPr>
          <w:i/>
        </w:rPr>
        <w:t xml:space="preserve"> …</w:t>
      </w:r>
    </w:p>
    <w:p w14:paraId="4DE4D04D" w14:textId="77777777" w:rsidR="00D30517" w:rsidRPr="003F57D6" w:rsidRDefault="00D30517" w:rsidP="00D30517">
      <w:pPr>
        <w:spacing w:after="0" w:line="276" w:lineRule="auto"/>
      </w:pPr>
      <w:r>
        <w:t>Wenn kein Titelblatt existiert</w:t>
      </w:r>
      <w:bookmarkStart w:id="0" w:name="_Hlk67504565"/>
      <w:r>
        <w:t xml:space="preserve">, sollte der Beginn des Gedruckten </w:t>
      </w:r>
      <w:r w:rsidR="003023AE">
        <w:t xml:space="preserve">(GW: Initien) </w:t>
      </w:r>
      <w:r>
        <w:t xml:space="preserve">mit der einleitenden Wendung </w:t>
      </w:r>
      <w:r w:rsidRPr="003F57D6">
        <w:rPr>
          <w:i/>
        </w:rPr>
        <w:t>Textbeginn</w:t>
      </w:r>
      <w:r>
        <w:rPr>
          <w:i/>
        </w:rPr>
        <w:t>:</w:t>
      </w:r>
      <w:r>
        <w:t xml:space="preserve"> </w:t>
      </w:r>
      <w:bookmarkEnd w:id="0"/>
      <w:r>
        <w:t>im Feld Titelzusatz angegeben werden. Dabei sollte erst ab der dritten Zeile abgekürzt werden. Wenn in mehreren Spalten gedruckt wurde, wird die linke Spalte gewählt.</w:t>
      </w:r>
    </w:p>
    <w:p w14:paraId="5E17FED3" w14:textId="77777777" w:rsidR="00876645" w:rsidRDefault="000006EA" w:rsidP="00D0104F">
      <w:pPr>
        <w:spacing w:after="0" w:line="276" w:lineRule="auto"/>
      </w:pPr>
      <w:r>
        <w:t xml:space="preserve">Vom Feld Haupttitel abweichende </w:t>
      </w:r>
      <w:r w:rsidR="00927DE5">
        <w:t>Titelvarianten, die bei einer bibliographischen Recherche ermittelt wurden,</w:t>
      </w:r>
      <w:r>
        <w:t xml:space="preserve"> </w:t>
      </w:r>
      <w:r w:rsidR="00D30517">
        <w:t>sollten</w:t>
      </w:r>
      <w:r>
        <w:t xml:space="preserve"> in Feld 370a verzeichnet</w:t>
      </w:r>
      <w:r w:rsidR="00D30517">
        <w:t xml:space="preserve"> und ebenfalls in der Anmerkung zum Titel aufgeführt werden.</w:t>
      </w:r>
    </w:p>
    <w:p w14:paraId="5997D139" w14:textId="77777777" w:rsidR="004D02E9" w:rsidRDefault="004D02E9" w:rsidP="00D0104F">
      <w:pPr>
        <w:spacing w:after="0" w:line="276" w:lineRule="auto"/>
      </w:pPr>
    </w:p>
    <w:p w14:paraId="3042591D" w14:textId="77777777" w:rsidR="003F57D6" w:rsidRPr="003F57D6" w:rsidRDefault="003F57D6" w:rsidP="00D0104F">
      <w:pPr>
        <w:spacing w:after="0" w:line="276" w:lineRule="auto"/>
        <w:rPr>
          <w:b/>
        </w:rPr>
      </w:pPr>
      <w:r w:rsidRPr="003F57D6">
        <w:rPr>
          <w:b/>
        </w:rPr>
        <w:t>Verantwortlichkeitsangabe</w:t>
      </w:r>
    </w:p>
    <w:p w14:paraId="7C618C77" w14:textId="77777777" w:rsidR="0074405B" w:rsidRDefault="002F364E" w:rsidP="00D0104F">
      <w:pPr>
        <w:spacing w:after="0" w:line="276" w:lineRule="auto"/>
      </w:pPr>
      <w:r>
        <w:t>Bei Inkunabeln</w:t>
      </w:r>
      <w:r w:rsidR="008677A0">
        <w:t xml:space="preserve"> sind auch bei Vorhandensein eines Titelblattes oder eines Kolophons nicht immer</w:t>
      </w:r>
      <w:r>
        <w:t xml:space="preserve"> </w:t>
      </w:r>
      <w:r w:rsidR="008677A0">
        <w:t>die geistigen Schöpfer oder sonstige beteiligte Personen angegeben</w:t>
      </w:r>
      <w:r>
        <w:t>.</w:t>
      </w:r>
    </w:p>
    <w:p w14:paraId="4556B6C1" w14:textId="77777777" w:rsidR="00AC6094" w:rsidRDefault="00AC6094" w:rsidP="00D0104F">
      <w:pPr>
        <w:spacing w:after="0" w:line="276" w:lineRule="auto"/>
      </w:pPr>
      <w:r>
        <w:t>Geistige Schöpfer, die im Kolophon grammatisch mit der Veröffentlichungsangabe verbunden sind, werden dort übertragen.</w:t>
      </w:r>
    </w:p>
    <w:p w14:paraId="2AADD7F7" w14:textId="77777777" w:rsidR="003F57D6" w:rsidRDefault="00F75D0B" w:rsidP="00D0104F">
      <w:pPr>
        <w:spacing w:after="0" w:line="276" w:lineRule="auto"/>
      </w:pPr>
      <w:r>
        <w:t>Wenn die Verantwortlichkeitsangabe</w:t>
      </w:r>
      <w:r w:rsidR="00B93B0F">
        <w:t xml:space="preserve"> </w:t>
      </w:r>
      <w:r w:rsidR="0074405B">
        <w:t>externen Informationsq</w:t>
      </w:r>
      <w:r w:rsidR="00B93B0F">
        <w:t>uellen wie dem GW oder ISTC entnommen wird, wird eine Anmerkung dazu gemacht und das Feld eckig geklammert.</w:t>
      </w:r>
    </w:p>
    <w:p w14:paraId="6A42EE01" w14:textId="77777777" w:rsidR="00B93B0F" w:rsidRDefault="00B93B0F" w:rsidP="00D0104F">
      <w:pPr>
        <w:spacing w:after="0" w:line="276" w:lineRule="auto"/>
      </w:pPr>
      <w:r>
        <w:t xml:space="preserve">Mutmaßliche geistige Schöpfer, Herausgeber usw., die in externen Quellen ermittelt wurden, werden </w:t>
      </w:r>
      <w:r w:rsidR="000D5AFE">
        <w:t xml:space="preserve">nur </w:t>
      </w:r>
      <w:r>
        <w:t xml:space="preserve">in einer Anmerkung </w:t>
      </w:r>
      <w:r w:rsidR="000D5AFE">
        <w:t>aufgeführt</w:t>
      </w:r>
      <w:r>
        <w:t>.</w:t>
      </w:r>
    </w:p>
    <w:p w14:paraId="24B17CF3" w14:textId="77777777" w:rsidR="003F57D6" w:rsidRDefault="003F57D6" w:rsidP="00D0104F">
      <w:pPr>
        <w:spacing w:after="0" w:line="276" w:lineRule="auto"/>
      </w:pPr>
    </w:p>
    <w:p w14:paraId="48132EEC" w14:textId="77777777" w:rsidR="000F43C9" w:rsidRPr="00F75D0B" w:rsidRDefault="00F75D0B" w:rsidP="00D0104F">
      <w:pPr>
        <w:spacing w:after="0" w:line="276" w:lineRule="auto"/>
        <w:rPr>
          <w:b/>
        </w:rPr>
      </w:pPr>
      <w:r w:rsidRPr="00F75D0B">
        <w:rPr>
          <w:b/>
        </w:rPr>
        <w:t>Veröffentlichungsangabe</w:t>
      </w:r>
    </w:p>
    <w:p w14:paraId="22FBF9DD" w14:textId="77777777" w:rsidR="00216751" w:rsidRDefault="00216751" w:rsidP="00D0104F">
      <w:pPr>
        <w:spacing w:after="0" w:line="276" w:lineRule="auto"/>
      </w:pPr>
      <w:r>
        <w:lastRenderedPageBreak/>
        <w:t xml:space="preserve">Angaben zur Veröffentlichung finden sich in Inkunabeln </w:t>
      </w:r>
      <w:r w:rsidR="00AC6094">
        <w:t xml:space="preserve">hauptsächlich </w:t>
      </w:r>
      <w:r>
        <w:t>im Kolophon oder sind in externen Quellen zu ermitteln.</w:t>
      </w:r>
      <w:r w:rsidR="002A6344">
        <w:t xml:space="preserve"> Die Formulierung des Kolophons wird in einer Anmerkung mit der einleitenden Wendung „Kolophon: …“ vorlagegemäß und vollständig übertragen.</w:t>
      </w:r>
      <w:r w:rsidR="00C14F95">
        <w:t xml:space="preserve"> Wenn der Drucker anhand einer Druckermarke ermittelt wurde, </w:t>
      </w:r>
      <w:r w:rsidR="00AC6094">
        <w:t>kann</w:t>
      </w:r>
      <w:r w:rsidR="00C14F95">
        <w:t xml:space="preserve"> darauf in einer Anmerkung hingewiesen werden.</w:t>
      </w:r>
    </w:p>
    <w:p w14:paraId="37AD5CDE" w14:textId="03A4152C" w:rsidR="000F43C9" w:rsidRDefault="002A6344" w:rsidP="00D0104F">
      <w:pPr>
        <w:spacing w:after="0" w:line="276" w:lineRule="auto"/>
      </w:pPr>
      <w:r>
        <w:t>Im Feld Veröffentlichungsangabe werden Druckort, Drucker</w:t>
      </w:r>
      <w:r w:rsidR="00023F13">
        <w:t xml:space="preserve"> und Druckjahr </w:t>
      </w:r>
      <w:bookmarkStart w:id="1" w:name="_Hlk67504444"/>
      <w:r w:rsidR="00023F13">
        <w:t>in der Form 419 a GND-Ansetzung, b Vorname Nachname</w:t>
      </w:r>
      <w:r w:rsidR="001B1504">
        <w:t xml:space="preserve"> bzw. a</w:t>
      </w:r>
      <w:r w:rsidR="003023AE">
        <w:t xml:space="preserve">ndere Form aus dem Register </w:t>
      </w:r>
      <w:r w:rsidR="003023AE" w:rsidRPr="003023AE">
        <w:rPr>
          <w:i/>
        </w:rPr>
        <w:t>Drucker (Offizinen)</w:t>
      </w:r>
      <w:r w:rsidR="003023AE">
        <w:t xml:space="preserve"> des GW</w:t>
      </w:r>
      <w:r w:rsidR="00023F13">
        <w:t xml:space="preserve">, c Jahr (ggf. vorangestellt: um, nach, nicht vor, nicht nach etc. bzw. zwischen Jahr und Jahr) angegeben </w:t>
      </w:r>
      <w:bookmarkEnd w:id="1"/>
      <w:r w:rsidR="00023F13">
        <w:t>und eckig geklammert, wenn diese Angaben in externen Quellen ermittelt wurden. Bei abweichenden Angaben wird hier d</w:t>
      </w:r>
      <w:r w:rsidR="002022C4">
        <w:t>er</w:t>
      </w:r>
      <w:bookmarkStart w:id="2" w:name="_GoBack"/>
      <w:bookmarkEnd w:id="2"/>
      <w:r w:rsidR="00023F13">
        <w:t xml:space="preserve"> </w:t>
      </w:r>
      <w:r w:rsidR="00AC6094">
        <w:rPr>
          <w:color w:val="FF0000"/>
        </w:rPr>
        <w:t>GW oder ISTC (s.o.)</w:t>
      </w:r>
      <w:r w:rsidR="00023F13" w:rsidRPr="00AC6094">
        <w:rPr>
          <w:color w:val="FF0000"/>
        </w:rPr>
        <w:t xml:space="preserve"> </w:t>
      </w:r>
      <w:r w:rsidR="00023F13">
        <w:t>bevorzugt und auf anderslautende Angaben in einer Anmerkung hingewiesen.</w:t>
      </w:r>
    </w:p>
    <w:p w14:paraId="10D0725D" w14:textId="77777777" w:rsidR="00023F13" w:rsidRDefault="00023F13" w:rsidP="00D0104F">
      <w:pPr>
        <w:spacing w:after="0" w:line="276" w:lineRule="auto"/>
      </w:pPr>
      <w:r>
        <w:t xml:space="preserve">Im Feld 425a wird das früheste Jahr bzw. das angegebene Jahr bei Schätzungen wie „nicht vor“ </w:t>
      </w:r>
      <w:r w:rsidR="00AC6094">
        <w:t xml:space="preserve">der für Feld 419 verwendeten Datierung </w:t>
      </w:r>
      <w:r>
        <w:t>verzeichnet.</w:t>
      </w:r>
    </w:p>
    <w:p w14:paraId="27C018BA" w14:textId="77777777" w:rsidR="009218F0" w:rsidRDefault="009218F0" w:rsidP="00D0104F">
      <w:pPr>
        <w:spacing w:after="0" w:line="276" w:lineRule="auto"/>
      </w:pPr>
      <w:r>
        <w:t>Vorhandene, ermittelte und mutmaßliche Druckorte wie auch Drucker sollten in Feld 676 und 677 mit der GND verknüpft werden.</w:t>
      </w:r>
      <w:r w:rsidR="001D5AEA">
        <w:t xml:space="preserve"> Sollte der Drucker noch nicht in der GND normiert sein, wird er in der Form </w:t>
      </w:r>
      <w:r w:rsidR="001D5AEA" w:rsidRPr="001D5AEA">
        <w:rPr>
          <w:i/>
        </w:rPr>
        <w:t>Nachname, Vorname</w:t>
      </w:r>
      <w:r w:rsidR="001D5AEA">
        <w:t xml:space="preserve"> angegeben.</w:t>
      </w:r>
    </w:p>
    <w:p w14:paraId="0F81613A" w14:textId="77777777" w:rsidR="00534149" w:rsidRDefault="00534149" w:rsidP="00D0104F">
      <w:pPr>
        <w:spacing w:after="0" w:line="276" w:lineRule="auto"/>
      </w:pPr>
    </w:p>
    <w:p w14:paraId="717BB6C0" w14:textId="77777777" w:rsidR="00023F13" w:rsidRPr="00023F13" w:rsidRDefault="00023F13" w:rsidP="00D0104F">
      <w:pPr>
        <w:spacing w:after="0" w:line="276" w:lineRule="auto"/>
        <w:rPr>
          <w:b/>
        </w:rPr>
      </w:pPr>
      <w:r w:rsidRPr="00023F13">
        <w:rPr>
          <w:b/>
        </w:rPr>
        <w:t>Umfangsangabe</w:t>
      </w:r>
      <w:r w:rsidR="004B47D9">
        <w:rPr>
          <w:b/>
        </w:rPr>
        <w:t>, Format, Signaturformel</w:t>
      </w:r>
    </w:p>
    <w:p w14:paraId="321EC4EF" w14:textId="1D871C0F" w:rsidR="00936964" w:rsidRPr="00EB579F" w:rsidRDefault="004B47D9" w:rsidP="00D0104F">
      <w:pPr>
        <w:spacing w:after="0" w:line="276" w:lineRule="auto"/>
        <w:rPr>
          <w:color w:val="FF0000"/>
        </w:rPr>
      </w:pPr>
      <w:r>
        <w:t xml:space="preserve">Die Umfangsangabe sollte aus dem GW </w:t>
      </w:r>
      <w:r w:rsidR="00725CA1">
        <w:t xml:space="preserve">(ggf. auch aus einem anderen </w:t>
      </w:r>
      <w:proofErr w:type="spellStart"/>
      <w:r w:rsidR="00725CA1">
        <w:t>Inkunabelverzeichnis</w:t>
      </w:r>
      <w:proofErr w:type="spellEnd"/>
      <w:r w:rsidR="00725CA1">
        <w:t xml:space="preserve">) </w:t>
      </w:r>
      <w:r>
        <w:t>übertragen werden</w:t>
      </w:r>
      <w:r w:rsidR="00725CA1">
        <w:t>, wenn sie ermittelt werden</w:t>
      </w:r>
      <w:r w:rsidR="00570539">
        <w:t xml:space="preserve"> m</w:t>
      </w:r>
      <w:r w:rsidR="00996E45">
        <w:t>uss</w:t>
      </w:r>
      <w:r w:rsidR="00725CA1">
        <w:t>.</w:t>
      </w:r>
      <w:r w:rsidR="00996E45">
        <w:t xml:space="preserve"> </w:t>
      </w:r>
      <w:commentRangeStart w:id="3"/>
      <w:r w:rsidR="00EB579F">
        <w:t>Dort</w:t>
      </w:r>
      <w:commentRangeEnd w:id="3"/>
      <w:r w:rsidR="00231A84">
        <w:rPr>
          <w:rStyle w:val="Kommentarzeichen"/>
        </w:rPr>
        <w:commentReference w:id="3"/>
      </w:r>
      <w:r w:rsidR="00EB579F">
        <w:t xml:space="preserve"> werden auch die leeren Blätter einer Lage berücksichtigt, die ohne Erfahrung in der </w:t>
      </w:r>
      <w:proofErr w:type="spellStart"/>
      <w:r w:rsidR="00EB579F">
        <w:t>Inkunabelerschließung</w:t>
      </w:r>
      <w:proofErr w:type="spellEnd"/>
      <w:r w:rsidR="00EB579F">
        <w:t xml:space="preserve"> nicht leicht zu </w:t>
      </w:r>
      <w:r w:rsidR="005E5AFF">
        <w:t>entdecken</w:t>
      </w:r>
      <w:r w:rsidR="00EB579F">
        <w:t xml:space="preserve"> sind. </w:t>
      </w:r>
      <w:r w:rsidR="00996E45">
        <w:t xml:space="preserve">Auf eine RDA-konforme Angabe kann dabei verzichtet werden. </w:t>
      </w:r>
      <w:r w:rsidR="00996E45" w:rsidRPr="002022C4">
        <w:rPr>
          <w:i/>
          <w:color w:val="FF0000"/>
        </w:rPr>
        <w:t xml:space="preserve">(RDA beruht auf der Berücksichtigung von Lagenfolgen – das ist für uns </w:t>
      </w:r>
      <w:proofErr w:type="spellStart"/>
      <w:r w:rsidR="00996E45" w:rsidRPr="002022C4">
        <w:rPr>
          <w:i/>
          <w:color w:val="FF0000"/>
        </w:rPr>
        <w:t>Formalkatalogisierinnen</w:t>
      </w:r>
      <w:proofErr w:type="spellEnd"/>
      <w:r w:rsidR="00996E45" w:rsidRPr="002022C4">
        <w:rPr>
          <w:i/>
          <w:color w:val="FF0000"/>
        </w:rPr>
        <w:t xml:space="preserve"> eher nicht leistbar …)</w:t>
      </w:r>
    </w:p>
    <w:p w14:paraId="6175CEED" w14:textId="77777777" w:rsidR="00725CA1" w:rsidRDefault="00996E45" w:rsidP="00D0104F">
      <w:pPr>
        <w:spacing w:after="0" w:line="276" w:lineRule="auto"/>
      </w:pPr>
      <w:r>
        <w:t>Im Zweifelsfall sollte auch das Format im GW ermittelt werden.</w:t>
      </w:r>
    </w:p>
    <w:p w14:paraId="7F904C96" w14:textId="77777777" w:rsidR="00023F13" w:rsidRDefault="004B47D9" w:rsidP="00D0104F">
      <w:pPr>
        <w:spacing w:after="0" w:line="276" w:lineRule="auto"/>
      </w:pPr>
      <w:r>
        <w:t xml:space="preserve">Auf die Angabe der Signaturformel kann </w:t>
      </w:r>
      <w:r w:rsidR="00725CA1">
        <w:t>verzichtet werden.</w:t>
      </w:r>
    </w:p>
    <w:p w14:paraId="5DD7054F" w14:textId="77777777" w:rsidR="00023F13" w:rsidRDefault="00023F13" w:rsidP="00D0104F">
      <w:pPr>
        <w:spacing w:after="0" w:line="276" w:lineRule="auto"/>
      </w:pPr>
    </w:p>
    <w:p w14:paraId="1CF39A6B" w14:textId="77777777" w:rsidR="00876645" w:rsidRPr="004B47D9" w:rsidRDefault="004B47D9" w:rsidP="00D0104F">
      <w:pPr>
        <w:spacing w:after="0" w:line="276" w:lineRule="auto"/>
        <w:rPr>
          <w:b/>
        </w:rPr>
      </w:pPr>
      <w:r w:rsidRPr="004B47D9">
        <w:rPr>
          <w:b/>
        </w:rPr>
        <w:t>Bibliographischer Nachweis</w:t>
      </w:r>
    </w:p>
    <w:p w14:paraId="4877B1DE" w14:textId="77777777" w:rsidR="00DA3312" w:rsidRDefault="004B47D9" w:rsidP="00D0104F">
      <w:pPr>
        <w:spacing w:after="0" w:line="276" w:lineRule="auto"/>
      </w:pPr>
      <w:r>
        <w:t xml:space="preserve">Keine Inkunabel sollte </w:t>
      </w:r>
      <w:r w:rsidR="009218F0">
        <w:t xml:space="preserve">– wenn vorhanden - </w:t>
      </w:r>
      <w:r>
        <w:t>ohne die Angabe der GW- und ISTC-Nummer katalogisiert werden</w:t>
      </w:r>
      <w:r w:rsidR="00135C0D">
        <w:t xml:space="preserve">. </w:t>
      </w:r>
      <w:r w:rsidR="009218F0">
        <w:t xml:space="preserve">Auf weitere bibliographische Nachweise kann inzwischen aufgrund der Angaben und Verlinkungen in diesen </w:t>
      </w:r>
      <w:proofErr w:type="spellStart"/>
      <w:r w:rsidR="009218F0">
        <w:t>Inkunabelverzeichnissen</w:t>
      </w:r>
      <w:proofErr w:type="spellEnd"/>
      <w:r w:rsidR="009218F0">
        <w:t xml:space="preserve"> verzichtet werden</w:t>
      </w:r>
      <w:r w:rsidR="00AD6F5F">
        <w:t>.</w:t>
      </w:r>
    </w:p>
    <w:p w14:paraId="32EF77ED" w14:textId="138E5E40" w:rsidR="009218F0" w:rsidRDefault="00C42D01" w:rsidP="00D0104F">
      <w:pPr>
        <w:spacing w:after="0" w:line="276" w:lineRule="auto"/>
      </w:pPr>
      <w:r>
        <w:t>Wenn eine Inkunabel bisher nicht im GW verzeichnet ist, sollte sie dort gemeldet werden</w:t>
      </w:r>
      <w:r w:rsidR="003D5A3D">
        <w:t xml:space="preserve">, </w:t>
      </w:r>
      <w:r>
        <w:t xml:space="preserve">wenn das nicht ohnehin schon </w:t>
      </w:r>
      <w:r w:rsidR="003D5A3D">
        <w:t xml:space="preserve">in Form einer </w:t>
      </w:r>
      <w:r>
        <w:t xml:space="preserve">Identifizierungsanfrage </w:t>
      </w:r>
      <w:r w:rsidR="003D5A3D">
        <w:t>an d</w:t>
      </w:r>
      <w:r w:rsidR="002022C4">
        <w:t>en</w:t>
      </w:r>
      <w:r w:rsidR="003D5A3D">
        <w:t xml:space="preserve"> GW </w:t>
      </w:r>
      <w:r>
        <w:t>geschehen ist.</w:t>
      </w:r>
    </w:p>
    <w:p w14:paraId="27D8969E" w14:textId="77777777" w:rsidR="00781FD1" w:rsidRPr="009218F0" w:rsidRDefault="00996E45" w:rsidP="00D0104F">
      <w:pPr>
        <w:spacing w:after="0" w:line="276" w:lineRule="auto"/>
        <w:rPr>
          <w:color w:val="FF0000"/>
        </w:rPr>
      </w:pPr>
      <w:r>
        <w:rPr>
          <w:color w:val="FF0000"/>
        </w:rPr>
        <w:t>Hier muss jetzt Feld 539 gewählt werden - z</w:t>
      </w:r>
      <w:r w:rsidR="00570539">
        <w:rPr>
          <w:color w:val="FF0000"/>
        </w:rPr>
        <w:t>.Z. werden im Verbund alle Angaben außer den VD-Nummern von Feld 580 in das nicht recherchierbare Feld 539 migriert, das</w:t>
      </w:r>
      <w:r w:rsidR="003D5A3D" w:rsidRPr="009218F0">
        <w:rPr>
          <w:color w:val="FF0000"/>
        </w:rPr>
        <w:t xml:space="preserve"> </w:t>
      </w:r>
      <w:r w:rsidR="00781FD1" w:rsidRPr="009218F0">
        <w:rPr>
          <w:color w:val="FF0000"/>
        </w:rPr>
        <w:t>in Alma</w:t>
      </w:r>
      <w:r w:rsidR="00570539">
        <w:rPr>
          <w:color w:val="FF0000"/>
        </w:rPr>
        <w:t xml:space="preserve"> zu Feld </w:t>
      </w:r>
      <w:r w:rsidR="00781FD1" w:rsidRPr="009218F0">
        <w:rPr>
          <w:color w:val="FF0000"/>
        </w:rPr>
        <w:t xml:space="preserve">510 UF a, c </w:t>
      </w:r>
      <w:r w:rsidR="00570539">
        <w:rPr>
          <w:color w:val="FF0000"/>
        </w:rPr>
        <w:t>und</w:t>
      </w:r>
      <w:r w:rsidR="00781FD1" w:rsidRPr="009218F0">
        <w:rPr>
          <w:color w:val="FF0000"/>
        </w:rPr>
        <w:t xml:space="preserve"> in „Notizen“ indexiert</w:t>
      </w:r>
      <w:r w:rsidR="00570539">
        <w:rPr>
          <w:color w:val="FF0000"/>
        </w:rPr>
        <w:t xml:space="preserve"> werden wird</w:t>
      </w:r>
    </w:p>
    <w:p w14:paraId="3B16E4DE" w14:textId="77777777" w:rsidR="00E43A79" w:rsidRPr="00781FD1" w:rsidRDefault="00E43A79" w:rsidP="00D0104F">
      <w:pPr>
        <w:spacing w:after="0" w:line="276" w:lineRule="auto"/>
      </w:pPr>
    </w:p>
    <w:p w14:paraId="7856FEB3" w14:textId="77777777" w:rsidR="00E43A79" w:rsidRPr="00781FD1" w:rsidRDefault="00AC3AA6" w:rsidP="00D0104F">
      <w:pPr>
        <w:spacing w:after="0" w:line="276" w:lineRule="auto"/>
        <w:rPr>
          <w:b/>
        </w:rPr>
      </w:pPr>
      <w:proofErr w:type="spellStart"/>
      <w:r>
        <w:rPr>
          <w:b/>
        </w:rPr>
        <w:t>Exemplarspezifische</w:t>
      </w:r>
      <w:proofErr w:type="spellEnd"/>
      <w:r>
        <w:rPr>
          <w:b/>
        </w:rPr>
        <w:t xml:space="preserve"> Angaben</w:t>
      </w:r>
    </w:p>
    <w:p w14:paraId="3C760201" w14:textId="77777777" w:rsidR="001213EE" w:rsidRDefault="001213EE" w:rsidP="00D0104F">
      <w:pPr>
        <w:spacing w:after="0" w:line="276" w:lineRule="auto"/>
      </w:pPr>
      <w:proofErr w:type="spellStart"/>
      <w:r>
        <w:t>Exemplarspezifische</w:t>
      </w:r>
      <w:proofErr w:type="spellEnd"/>
      <w:r>
        <w:t xml:space="preserve"> Angaben werden in lokalen Anmerkungen angegeben.</w:t>
      </w:r>
    </w:p>
    <w:p w14:paraId="1637A646" w14:textId="77777777" w:rsidR="001213EE" w:rsidRDefault="001213EE" w:rsidP="00D0104F">
      <w:pPr>
        <w:spacing w:after="0" w:line="276" w:lineRule="auto"/>
      </w:pPr>
      <w:r>
        <w:t>Unbedingt angegeben werden sollten Fehlstehlen</w:t>
      </w:r>
      <w:r w:rsidR="002A5161">
        <w:t xml:space="preserve"> </w:t>
      </w:r>
      <w:commentRangeStart w:id="4"/>
      <w:r w:rsidR="002A5161">
        <w:t>(auch fehlende Leerblätter, falls diese identifiziert werden konnten)</w:t>
      </w:r>
      <w:commentRangeEnd w:id="4"/>
      <w:r w:rsidR="004A714A">
        <w:rPr>
          <w:rStyle w:val="Kommentarzeichen"/>
        </w:rPr>
        <w:commentReference w:id="4"/>
      </w:r>
      <w:r w:rsidR="00960E67">
        <w:t>, falsch gebundene Blätter</w:t>
      </w:r>
      <w:r>
        <w:t xml:space="preserve"> und von Papier abweichende Schriftträger wie Pergament.</w:t>
      </w:r>
    </w:p>
    <w:p w14:paraId="6FF290F6" w14:textId="77777777" w:rsidR="001213EE" w:rsidRDefault="001213EE" w:rsidP="00D0104F">
      <w:pPr>
        <w:spacing w:after="0" w:line="276" w:lineRule="auto"/>
      </w:pPr>
      <w:r>
        <w:t xml:space="preserve">Angegeben werden sollten auch Illuminationen wie ausgemalte Initialen </w:t>
      </w:r>
      <w:r w:rsidR="009F30F9">
        <w:t>sowie</w:t>
      </w:r>
      <w:r>
        <w:t xml:space="preserve"> Provenienz</w:t>
      </w:r>
      <w:r w:rsidR="009F30F9">
        <w:t>en</w:t>
      </w:r>
      <w:r w:rsidR="00AC3AA6">
        <w:t xml:space="preserve"> wie handschriftliche Eintragungen, Stempel, Exlibris usw</w:t>
      </w:r>
      <w:r>
        <w:t>.</w:t>
      </w:r>
      <w:r w:rsidR="00AC2883">
        <w:t xml:space="preserve"> Auch aus Katalogen, Listen usw. ermittelte Provenienzen sollten mit Verweis auf die Quelle der Angabe verzeichnet werden.</w:t>
      </w:r>
    </w:p>
    <w:p w14:paraId="47B01CC9" w14:textId="77777777" w:rsidR="001213EE" w:rsidRDefault="001213EE" w:rsidP="00D0104F">
      <w:pPr>
        <w:spacing w:after="0" w:line="276" w:lineRule="auto"/>
      </w:pPr>
      <w:r>
        <w:t>Wünschenswert sind Angaben zum Einband und Erhaltungszustand</w:t>
      </w:r>
      <w:r w:rsidR="008348FA">
        <w:t xml:space="preserve"> des (Sammel-)Bandes</w:t>
      </w:r>
      <w:r w:rsidR="009F30F9">
        <w:t>.</w:t>
      </w:r>
    </w:p>
    <w:p w14:paraId="4A4D28C1" w14:textId="77777777" w:rsidR="00781FD1" w:rsidRDefault="00781FD1" w:rsidP="00D0104F">
      <w:pPr>
        <w:spacing w:after="0" w:line="276" w:lineRule="auto"/>
      </w:pPr>
    </w:p>
    <w:p w14:paraId="0D2156DF" w14:textId="77777777" w:rsidR="00781FD1" w:rsidRPr="00781FD1" w:rsidRDefault="00781FD1" w:rsidP="00D0104F">
      <w:pPr>
        <w:spacing w:after="0" w:line="276" w:lineRule="auto"/>
        <w:rPr>
          <w:b/>
        </w:rPr>
      </w:pPr>
      <w:r w:rsidRPr="00781FD1">
        <w:rPr>
          <w:b/>
        </w:rPr>
        <w:t>Literatur</w:t>
      </w:r>
    </w:p>
    <w:p w14:paraId="530E6BEC" w14:textId="77777777" w:rsidR="00781FD1" w:rsidRDefault="00781FD1" w:rsidP="00D0104F">
      <w:pPr>
        <w:spacing w:after="0" w:line="276" w:lineRule="auto"/>
      </w:pPr>
      <w:r>
        <w:lastRenderedPageBreak/>
        <w:t xml:space="preserve">Schmitz, Wolfgang: </w:t>
      </w:r>
      <w:r w:rsidRPr="00781FD1">
        <w:t xml:space="preserve">Grundriss der </w:t>
      </w:r>
      <w:proofErr w:type="gramStart"/>
      <w:r w:rsidRPr="00781FD1">
        <w:t>Inkunabelkunde :</w:t>
      </w:r>
      <w:proofErr w:type="gramEnd"/>
      <w:r w:rsidRPr="00781FD1">
        <w:t xml:space="preserve"> das gedruckte Buch im Zeitalter des Medienwechsels  / Wolfgang Schmitz . - </w:t>
      </w:r>
      <w:proofErr w:type="gramStart"/>
      <w:r w:rsidRPr="00781FD1">
        <w:t>Stuttgart :</w:t>
      </w:r>
      <w:proofErr w:type="gramEnd"/>
      <w:r w:rsidRPr="00781FD1">
        <w:t xml:space="preserve"> Hiersemann, 2018 . - X, 420 Seiten. - ISBN: 978-3-7772-1800-7. - ISBN: 3-7772-1800-6. - (Bibliothek des </w:t>
      </w:r>
      <w:proofErr w:type="gramStart"/>
      <w:r w:rsidRPr="00781FD1">
        <w:t>Buchwesens ;</w:t>
      </w:r>
      <w:proofErr w:type="gramEnd"/>
      <w:r w:rsidRPr="00781FD1">
        <w:t xml:space="preserve"> Band 27 )</w:t>
      </w:r>
    </w:p>
    <w:p w14:paraId="6B4F1E70" w14:textId="77777777" w:rsidR="006F792F" w:rsidRDefault="006F792F" w:rsidP="00D0104F">
      <w:pPr>
        <w:spacing w:after="0" w:line="276" w:lineRule="auto"/>
      </w:pPr>
      <w:r>
        <w:t xml:space="preserve">s.a. </w:t>
      </w:r>
      <w:hyperlink r:id="rId10" w:history="1">
        <w:r w:rsidRPr="00A60030">
          <w:rPr>
            <w:rStyle w:val="Hyperlink"/>
          </w:rPr>
          <w:t>https://www.degruyter.com/document/doi/10.1515/bfp-2019-2025/html</w:t>
        </w:r>
      </w:hyperlink>
    </w:p>
    <w:p w14:paraId="554FA97E" w14:textId="77777777" w:rsidR="006F792F" w:rsidRDefault="006F792F" w:rsidP="00D0104F">
      <w:pPr>
        <w:spacing w:after="0" w:line="276" w:lineRule="auto"/>
      </w:pPr>
    </w:p>
    <w:p w14:paraId="6C263BE2" w14:textId="77777777" w:rsidR="001A5024" w:rsidRDefault="001A5024" w:rsidP="00D0104F">
      <w:pPr>
        <w:spacing w:after="0" w:line="276" w:lineRule="auto"/>
      </w:pPr>
      <w:r>
        <w:t>GW:</w:t>
      </w:r>
    </w:p>
    <w:p w14:paraId="11D449A3" w14:textId="77777777" w:rsidR="00AC2883" w:rsidRDefault="001A5024" w:rsidP="00D0104F">
      <w:pPr>
        <w:spacing w:after="0" w:line="276" w:lineRule="auto"/>
      </w:pPr>
      <w:r>
        <w:t>Anmerkung zur Datenbank:</w:t>
      </w:r>
      <w:r>
        <w:tab/>
      </w:r>
      <w:hyperlink r:id="rId11" w:history="1">
        <w:r w:rsidRPr="00B73855">
          <w:rPr>
            <w:rStyle w:val="Hyperlink"/>
          </w:rPr>
          <w:t>https://www.gesamtkatalogderwiegendrucke.de/GWPartsDE.xhtml</w:t>
        </w:r>
      </w:hyperlink>
    </w:p>
    <w:p w14:paraId="1819A17F" w14:textId="77777777" w:rsidR="001A5024" w:rsidRDefault="001A5024" w:rsidP="00D0104F">
      <w:pPr>
        <w:spacing w:after="0" w:line="276" w:lineRule="auto"/>
      </w:pPr>
      <w:r>
        <w:tab/>
      </w:r>
      <w:r>
        <w:tab/>
      </w:r>
      <w:r>
        <w:tab/>
      </w:r>
      <w:r>
        <w:tab/>
      </w:r>
      <w:hyperlink r:id="rId12" w:history="1">
        <w:r w:rsidRPr="00B73855">
          <w:rPr>
            <w:rStyle w:val="Hyperlink"/>
          </w:rPr>
          <w:t>https://www.gesamtkatalogderwiegendrucke.de/AnleitungDE.xhtml</w:t>
        </w:r>
      </w:hyperlink>
    </w:p>
    <w:p w14:paraId="2A555037" w14:textId="77777777" w:rsidR="00AC2883" w:rsidRPr="00AC2883" w:rsidRDefault="00AC2883" w:rsidP="00D0104F">
      <w:pPr>
        <w:spacing w:after="0" w:line="276" w:lineRule="auto"/>
      </w:pPr>
      <w:r>
        <w:t>Ein</w:t>
      </w:r>
      <w:r w:rsidR="00067963">
        <w:t>e</w:t>
      </w:r>
      <w:r>
        <w:t xml:space="preserve"> alphabetische Übersicht von </w:t>
      </w:r>
      <w:proofErr w:type="spellStart"/>
      <w:r>
        <w:t>Inkunabelkatalogen</w:t>
      </w:r>
      <w:proofErr w:type="spellEnd"/>
      <w:r>
        <w:t xml:space="preserve"> findet sich in der Registersuche des GW unter „Quellen“.</w:t>
      </w:r>
    </w:p>
    <w:sectPr w:rsidR="00AC2883" w:rsidRPr="00AC2883">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3" w:author="Pophanken,  Elke Anke" w:date="2021-03-26T14:54:00Z" w:initials="PEA">
    <w:p w14:paraId="0697BECD" w14:textId="77777777" w:rsidR="00231A84" w:rsidRDefault="00231A84">
      <w:pPr>
        <w:pStyle w:val="Kommentartext"/>
      </w:pPr>
      <w:r>
        <w:rPr>
          <w:rStyle w:val="Kommentarzeichen"/>
        </w:rPr>
        <w:annotationRef/>
      </w:r>
      <w:r>
        <w:t xml:space="preserve">Eingefügt auf Anregung von Frau </w:t>
      </w:r>
      <w:proofErr w:type="spellStart"/>
      <w:r>
        <w:t>Hövermann</w:t>
      </w:r>
      <w:proofErr w:type="spellEnd"/>
    </w:p>
  </w:comment>
  <w:comment w:id="4" w:author="Pophanken,  Elke Anke" w:date="2021-03-26T14:55:00Z" w:initials="PEA">
    <w:p w14:paraId="6E1DCB7B" w14:textId="4CE09368" w:rsidR="004A714A" w:rsidRDefault="004A714A">
      <w:pPr>
        <w:pStyle w:val="Kommentartext"/>
      </w:pPr>
      <w:r>
        <w:rPr>
          <w:rStyle w:val="Kommentarzeichen"/>
        </w:rPr>
        <w:annotationRef/>
      </w:r>
      <w:r w:rsidR="00DB087D">
        <w:t>Ei</w:t>
      </w:r>
      <w:r>
        <w:t xml:space="preserve">ngefügt auf Anregung von Frau </w:t>
      </w:r>
      <w:proofErr w:type="spellStart"/>
      <w:r>
        <w:t>Hövermann</w:t>
      </w:r>
      <w:proofErr w:type="spellEnd"/>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697BECD" w15:done="0"/>
  <w15:commentEx w15:paraId="6E1DCB7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97BECD" w16cid:durableId="2408743E"/>
  <w16cid:commentId w16cid:paraId="6E1DCB7B" w16cid:durableId="2408747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ophanken,  Elke Anke">
    <w15:presenceInfo w15:providerId="AD" w15:userId="S-1-5-21-2418847262-3847352916-1284767363-26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4149"/>
    <w:rsid w:val="000006EA"/>
    <w:rsid w:val="000163C7"/>
    <w:rsid w:val="00023F13"/>
    <w:rsid w:val="00066D04"/>
    <w:rsid w:val="00067963"/>
    <w:rsid w:val="000958A8"/>
    <w:rsid w:val="000D5AFE"/>
    <w:rsid w:val="000F43C9"/>
    <w:rsid w:val="0011111E"/>
    <w:rsid w:val="001213EE"/>
    <w:rsid w:val="00135C0D"/>
    <w:rsid w:val="001559E8"/>
    <w:rsid w:val="001A5024"/>
    <w:rsid w:val="001B1504"/>
    <w:rsid w:val="001B23FB"/>
    <w:rsid w:val="001C378A"/>
    <w:rsid w:val="001D5AEA"/>
    <w:rsid w:val="001D7805"/>
    <w:rsid w:val="002022C4"/>
    <w:rsid w:val="00216751"/>
    <w:rsid w:val="00231A84"/>
    <w:rsid w:val="002945D3"/>
    <w:rsid w:val="002A5161"/>
    <w:rsid w:val="002A6344"/>
    <w:rsid w:val="002D4092"/>
    <w:rsid w:val="002E2AE3"/>
    <w:rsid w:val="002F364E"/>
    <w:rsid w:val="003023AE"/>
    <w:rsid w:val="003D5A3D"/>
    <w:rsid w:val="003D6633"/>
    <w:rsid w:val="003F57D6"/>
    <w:rsid w:val="0041350A"/>
    <w:rsid w:val="004A714A"/>
    <w:rsid w:val="004B47D9"/>
    <w:rsid w:val="004D02E9"/>
    <w:rsid w:val="00534149"/>
    <w:rsid w:val="00570539"/>
    <w:rsid w:val="00596C9A"/>
    <w:rsid w:val="005D0D0A"/>
    <w:rsid w:val="005D272F"/>
    <w:rsid w:val="005E5AFF"/>
    <w:rsid w:val="00661397"/>
    <w:rsid w:val="006617FD"/>
    <w:rsid w:val="006F792F"/>
    <w:rsid w:val="00725CA1"/>
    <w:rsid w:val="0074405B"/>
    <w:rsid w:val="00781FD1"/>
    <w:rsid w:val="008348FA"/>
    <w:rsid w:val="008677A0"/>
    <w:rsid w:val="00876645"/>
    <w:rsid w:val="00905533"/>
    <w:rsid w:val="009218F0"/>
    <w:rsid w:val="00927DE5"/>
    <w:rsid w:val="00936964"/>
    <w:rsid w:val="00960E67"/>
    <w:rsid w:val="00996E45"/>
    <w:rsid w:val="009C3683"/>
    <w:rsid w:val="009C36A7"/>
    <w:rsid w:val="009D0748"/>
    <w:rsid w:val="009F30F9"/>
    <w:rsid w:val="00A42040"/>
    <w:rsid w:val="00A82B46"/>
    <w:rsid w:val="00AC2883"/>
    <w:rsid w:val="00AC3AA6"/>
    <w:rsid w:val="00AC6094"/>
    <w:rsid w:val="00AD6F5F"/>
    <w:rsid w:val="00AE01FA"/>
    <w:rsid w:val="00AF3DB1"/>
    <w:rsid w:val="00B57494"/>
    <w:rsid w:val="00B93B0F"/>
    <w:rsid w:val="00C14F95"/>
    <w:rsid w:val="00C42D01"/>
    <w:rsid w:val="00CF5CBC"/>
    <w:rsid w:val="00D0104F"/>
    <w:rsid w:val="00D15B96"/>
    <w:rsid w:val="00D30517"/>
    <w:rsid w:val="00DA3312"/>
    <w:rsid w:val="00DB087D"/>
    <w:rsid w:val="00DE1977"/>
    <w:rsid w:val="00DF0F88"/>
    <w:rsid w:val="00E43A79"/>
    <w:rsid w:val="00EB579F"/>
    <w:rsid w:val="00EB74EB"/>
    <w:rsid w:val="00F75D0B"/>
    <w:rsid w:val="00FA3184"/>
    <w:rsid w:val="00FE2693"/>
    <w:rsid w:val="00FE4A5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FC2FD"/>
  <w15:chartTrackingRefBased/>
  <w15:docId w15:val="{BE5B5342-18CF-4A97-8207-99087553C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0104F"/>
    <w:rPr>
      <w:color w:val="0563C1" w:themeColor="hyperlink"/>
      <w:u w:val="single"/>
    </w:rPr>
  </w:style>
  <w:style w:type="character" w:styleId="NichtaufgelsteErwhnung">
    <w:name w:val="Unresolved Mention"/>
    <w:basedOn w:val="Absatz-Standardschriftart"/>
    <w:uiPriority w:val="99"/>
    <w:semiHidden/>
    <w:unhideWhenUsed/>
    <w:rsid w:val="00D0104F"/>
    <w:rPr>
      <w:color w:val="605E5C"/>
      <w:shd w:val="clear" w:color="auto" w:fill="E1DFDD"/>
    </w:rPr>
  </w:style>
  <w:style w:type="character" w:styleId="Kommentarzeichen">
    <w:name w:val="annotation reference"/>
    <w:basedOn w:val="Absatz-Standardschriftart"/>
    <w:uiPriority w:val="99"/>
    <w:semiHidden/>
    <w:unhideWhenUsed/>
    <w:rsid w:val="00231A84"/>
    <w:rPr>
      <w:sz w:val="16"/>
      <w:szCs w:val="16"/>
    </w:rPr>
  </w:style>
  <w:style w:type="paragraph" w:styleId="Kommentartext">
    <w:name w:val="annotation text"/>
    <w:basedOn w:val="Standard"/>
    <w:link w:val="KommentartextZchn"/>
    <w:uiPriority w:val="99"/>
    <w:semiHidden/>
    <w:unhideWhenUsed/>
    <w:rsid w:val="00231A8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31A84"/>
    <w:rPr>
      <w:sz w:val="20"/>
      <w:szCs w:val="20"/>
    </w:rPr>
  </w:style>
  <w:style w:type="paragraph" w:styleId="Kommentarthema">
    <w:name w:val="annotation subject"/>
    <w:basedOn w:val="Kommentartext"/>
    <w:next w:val="Kommentartext"/>
    <w:link w:val="KommentarthemaZchn"/>
    <w:uiPriority w:val="99"/>
    <w:semiHidden/>
    <w:unhideWhenUsed/>
    <w:rsid w:val="00231A84"/>
    <w:rPr>
      <w:b/>
      <w:bCs/>
    </w:rPr>
  </w:style>
  <w:style w:type="character" w:customStyle="1" w:styleId="KommentarthemaZchn">
    <w:name w:val="Kommentarthema Zchn"/>
    <w:basedOn w:val="KommentartextZchn"/>
    <w:link w:val="Kommentarthema"/>
    <w:uiPriority w:val="99"/>
    <w:semiHidden/>
    <w:rsid w:val="00231A84"/>
    <w:rPr>
      <w:b/>
      <w:bCs/>
      <w:sz w:val="20"/>
      <w:szCs w:val="20"/>
    </w:rPr>
  </w:style>
  <w:style w:type="paragraph" w:styleId="Sprechblasentext">
    <w:name w:val="Balloon Text"/>
    <w:basedOn w:val="Standard"/>
    <w:link w:val="SprechblasentextZchn"/>
    <w:uiPriority w:val="99"/>
    <w:semiHidden/>
    <w:unhideWhenUsed/>
    <w:rsid w:val="00231A8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31A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comments" Target="comments.xml"/><Relationship Id="rId12" Type="http://schemas.openxmlformats.org/officeDocument/2006/relationships/hyperlink" Target="https://www.gesamtkatalogderwiegendrucke.de/AnleitungDE.x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ata.cerl.org/istc/_search" TargetMode="External"/><Relationship Id="rId11" Type="http://schemas.openxmlformats.org/officeDocument/2006/relationships/hyperlink" Target="https://www.gesamtkatalogderwiegendrucke.de/GWPartsDE.xhtml" TargetMode="External"/><Relationship Id="rId5" Type="http://schemas.openxmlformats.org/officeDocument/2006/relationships/hyperlink" Target="mailto:gw@sbb.spk-berlin.de" TargetMode="External"/><Relationship Id="rId15" Type="http://schemas.openxmlformats.org/officeDocument/2006/relationships/theme" Target="theme/theme1.xml"/><Relationship Id="rId10" Type="http://schemas.openxmlformats.org/officeDocument/2006/relationships/hyperlink" Target="https://www.degruyter.com/document/doi/10.1515/bfp-2019-2025/html" TargetMode="External"/><Relationship Id="rId4" Type="http://schemas.openxmlformats.org/officeDocument/2006/relationships/hyperlink" Target="https://www.gesamtkatalogderwiegendrucke.de/" TargetMode="External"/><Relationship Id="rId9" Type="http://schemas.microsoft.com/office/2016/09/relationships/commentsIds" Target="commentsIds.xml"/><Relationship Id="rId14" Type="http://schemas.microsoft.com/office/2011/relationships/people" Target="peop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1413</Words>
  <Characters>8907</Characters>
  <Application>Microsoft Office Word</Application>
  <DocSecurity>0</DocSecurity>
  <Lines>74</Lines>
  <Paragraphs>20</Paragraphs>
  <ScaleCrop>false</ScaleCrop>
  <HeadingPairs>
    <vt:vector size="2" baseType="variant">
      <vt:variant>
        <vt:lpstr>Titel</vt:lpstr>
      </vt:variant>
      <vt:variant>
        <vt:i4>1</vt:i4>
      </vt:variant>
    </vt:vector>
  </HeadingPairs>
  <TitlesOfParts>
    <vt:vector size="1" baseType="lpstr">
      <vt:lpstr/>
    </vt:vector>
  </TitlesOfParts>
  <Company>WWU Münster ULB</Company>
  <LinksUpToDate>false</LinksUpToDate>
  <CharactersWithSpaces>10300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Pophanken,  Elke Anke</dc:creator>
  <cp:keywords/>
  <dc:description/>
  <cp:lastModifiedBy>Pophanken,  Elke Anke</cp:lastModifiedBy>
  <cp:revision>50</cp:revision>
  <dcterms:created xsi:type="dcterms:W3CDTF">2021-02-08T07:28:00Z</dcterms:created>
  <dcterms:modified xsi:type="dcterms:W3CDTF">2021-03-26T14:08:00Z</dcterms:modified>
</cp:coreProperties>
</file>