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5D1B" w:rsidRDefault="001D5D1B" w:rsidP="001D5D1B">
      <w:r>
        <w:rPr>
          <w:b/>
          <w:bCs/>
        </w:rPr>
        <w:t>Spezifische Regeln für Alte Drucke</w:t>
      </w:r>
    </w:p>
    <w:p w:rsidR="001D5D1B" w:rsidRDefault="001D5D1B" w:rsidP="001D5D1B">
      <w:pPr>
        <w:pStyle w:val="with-breadcrumbs"/>
      </w:pPr>
      <w:r>
        <w:t>Wenden Sie für die Erfassung des Umfangs bei Alten Drucken die Basisregeln und besonders die </w:t>
      </w:r>
      <w:r>
        <w:rPr>
          <w:color w:val="FF0000"/>
        </w:rPr>
        <w:t xml:space="preserve"> </w:t>
      </w:r>
      <w:hyperlink r:id="rId5" w:history="1">
        <w:r>
          <w:rPr>
            <w:rStyle w:val="Hyperlink"/>
          </w:rPr>
          <w:t>Basisregeln Textressourcen</w:t>
        </w:r>
      </w:hyperlink>
      <w:r>
        <w:rPr>
          <w:color w:val="FF0000"/>
        </w:rPr>
        <w:t xml:space="preserve"> </w:t>
      </w:r>
      <w:r>
        <w:t>an, sofern im Folgenden nicht anders beschrieben.</w:t>
      </w:r>
    </w:p>
    <w:p w:rsidR="001D5D1B" w:rsidRDefault="001D5D1B" w:rsidP="001D5D1B">
      <w:pPr>
        <w:pStyle w:val="with-breadcrumbs"/>
      </w:pPr>
      <w:r>
        <w:rPr>
          <w:color w:val="000000"/>
        </w:rPr>
        <w:t>Die spezifischen Regelungen für Alte Drucke basieren auf den Regelungen aus </w:t>
      </w:r>
      <w:r>
        <w:rPr>
          <w:rStyle w:val="Hervorhebung"/>
          <w:color w:val="000000"/>
        </w:rPr>
        <w:t>DCRMR, </w:t>
      </w:r>
      <w:proofErr w:type="spellStart"/>
      <w:r>
        <w:rPr>
          <w:rStyle w:val="Hervorhebung"/>
          <w:color w:val="000000"/>
        </w:rPr>
        <w:t>Extant</w:t>
      </w:r>
      <w:proofErr w:type="spellEnd"/>
      <w:r>
        <w:rPr>
          <w:rStyle w:val="Hervorhebung"/>
          <w:color w:val="000000"/>
        </w:rPr>
        <w:t> </w:t>
      </w:r>
      <w:proofErr w:type="spellStart"/>
      <w:r>
        <w:rPr>
          <w:rStyle w:val="Hervorhebung"/>
          <w:color w:val="000000"/>
        </w:rPr>
        <w:t>of</w:t>
      </w:r>
      <w:proofErr w:type="spellEnd"/>
      <w:r>
        <w:rPr>
          <w:rStyle w:val="Hervorhebung"/>
          <w:color w:val="000000"/>
        </w:rPr>
        <w:t xml:space="preserve"> Manifestation</w:t>
      </w:r>
      <w:r>
        <w:rPr>
          <w:color w:val="000000"/>
        </w:rPr>
        <w:t xml:space="preserve"> </w:t>
      </w:r>
      <w:r>
        <w:t> (</w:t>
      </w:r>
      <w:hyperlink r:id="rId6" w:history="1">
        <w:r>
          <w:rPr>
            <w:rStyle w:val="Hyperlink"/>
          </w:rPr>
          <w:t>https://bsc.rbms.info/DCRMR/phys-desc/Extent-of-manifestation/</w:t>
        </w:r>
      </w:hyperlink>
      <w:r>
        <w:t>), und wurden für den DACH-Bereich adaptiert.</w:t>
      </w:r>
    </w:p>
    <w:p w:rsidR="001D5D1B" w:rsidRDefault="001D5D1B" w:rsidP="001D5D1B">
      <w:pPr>
        <w:pStyle w:val="with-breadcrumbs"/>
      </w:pPr>
    </w:p>
    <w:p w:rsidR="001D5D1B" w:rsidRDefault="001D5D1B" w:rsidP="001D5D1B">
      <w:pPr>
        <w:pStyle w:val="StandardWeb"/>
      </w:pPr>
      <w:r>
        <w:rPr>
          <w:rStyle w:val="Fett"/>
        </w:rPr>
        <w:t>Manifestationen in einer bibliografischen Einheit</w:t>
      </w:r>
    </w:p>
    <w:p w:rsidR="001D5D1B" w:rsidRDefault="001D5D1B" w:rsidP="001D5D1B">
      <w:pPr>
        <w:pStyle w:val="StandardWeb"/>
      </w:pPr>
      <w:r>
        <w:t>Erfassen Sie jedes Blatt in einem Band (oder einer anderen bibliografischen Einheit), das Text oder Tafeln enthält, oder das unbedruckt ist. Hierzu können auch Blätter oder Seiten mit Werbung und Errata-Blätter oder -Seiten gehören. Erfassen Sie Auflistungen von Druckfehlern nicht, wenn sie auf kleineren Streifen gedruckt sind.</w:t>
      </w:r>
    </w:p>
    <w:p w:rsidR="001D5D1B" w:rsidRDefault="001D5D1B" w:rsidP="001D5D1B">
      <w:pPr>
        <w:pStyle w:val="StandardWeb"/>
      </w:pPr>
      <w:r>
        <w:t>Erfassen Sie keine Blätter, die zum Einband gehören (wie z. B. Vorsatzblätter).</w:t>
      </w:r>
    </w:p>
    <w:p w:rsidR="001D5D1B" w:rsidRDefault="001D5D1B" w:rsidP="001D5D1B">
      <w:pPr>
        <w:pStyle w:val="StandardWeb"/>
      </w:pPr>
      <w:r>
        <w:rPr>
          <w:rStyle w:val="jlqj4b"/>
          <w:color w:val="000000"/>
        </w:rPr>
        <w:t>Erfassen Sie die vollständige Anzahl der Seiten, Blätter oder Spalten in Übereinstimmung mit der Terminologie, die durch den Band (oder eine andere bibliografische Einheit) selbst vorgegeben wird.</w:t>
      </w:r>
      <w:r>
        <w:t xml:space="preserve"> </w:t>
      </w:r>
      <w:r>
        <w:rPr>
          <w:color w:val="000000"/>
        </w:rPr>
        <w:t> </w:t>
      </w:r>
      <w:r>
        <w:t xml:space="preserve"> </w:t>
      </w:r>
      <w:r>
        <w:rPr>
          <w:rStyle w:val="jlqj4b"/>
          <w:color w:val="000000"/>
        </w:rPr>
        <w:t>Bei einem Band mit auf beiden Seiten gezählten oder mit ungezählten und auf beiden Seiten bedruckten Blättern erfassen Sie den Umfang in Seiten.</w:t>
      </w:r>
      <w:r>
        <w:t xml:space="preserve"> </w:t>
      </w:r>
      <w:r>
        <w:rPr>
          <w:color w:val="000000"/>
        </w:rPr>
        <w:t> </w:t>
      </w:r>
      <w:r>
        <w:t xml:space="preserve"> </w:t>
      </w:r>
      <w:r>
        <w:rPr>
          <w:rStyle w:val="jlqj4b"/>
          <w:color w:val="000000"/>
        </w:rPr>
        <w:t>Wenn die Blätter auf einer Seite gezählt, aber auf beiden Seiten bedruckt sind, erfassen Sie die Zählung als Blätter.</w:t>
      </w:r>
      <w:r>
        <w:t xml:space="preserve"> </w:t>
      </w:r>
      <w:r>
        <w:rPr>
          <w:color w:val="000000"/>
        </w:rPr>
        <w:t> </w:t>
      </w:r>
      <w:r>
        <w:t xml:space="preserve"> </w:t>
      </w:r>
      <w:r>
        <w:rPr>
          <w:rStyle w:val="jlqj4b"/>
          <w:color w:val="000000"/>
        </w:rPr>
        <w:t>Bei einem Band mit gezählten und nur einseitig bedruckten Blättern oder mit nicht gezählten und nur einseitig bedruckten Blättern ist der Umfang in Blättern anzugeben und diese Tatsache in einer Anmerkung festzuhalten, falls dies als wichtig erachtet wird.</w:t>
      </w:r>
      <w:r>
        <w:t xml:space="preserve"> </w:t>
      </w:r>
      <w:r>
        <w:rPr>
          <w:color w:val="000000"/>
        </w:rPr>
        <w:t> </w:t>
      </w:r>
      <w:r>
        <w:t xml:space="preserve"> </w:t>
      </w:r>
      <w:r>
        <w:rPr>
          <w:rStyle w:val="jlqj4b"/>
          <w:color w:val="000000"/>
        </w:rPr>
        <w:t>Erfassen Sie für einen Band mit mehr als einer gezählten Spalte auf der Seite den Umfang in Spalten.</w:t>
      </w:r>
      <w:r>
        <w:t xml:space="preserve"> </w:t>
      </w:r>
      <w:r>
        <w:rPr>
          <w:color w:val="000000"/>
        </w:rPr>
        <w:t> </w:t>
      </w:r>
      <w:r>
        <w:t xml:space="preserve"> </w:t>
      </w:r>
      <w:r>
        <w:rPr>
          <w:rStyle w:val="jlqj4b"/>
          <w:color w:val="000000"/>
        </w:rPr>
        <w:t>Wenn eine Manifestation Folgen in mehr als einer Art von Zählung enthält, erfassen Sie jede Folge in ihrem entsprechenden Begriff als Seiten, Blätter oder Spalten.</w:t>
      </w:r>
    </w:p>
    <w:p w:rsidR="001D5D1B" w:rsidRDefault="001D5D1B" w:rsidP="001D5D1B">
      <w:pPr>
        <w:pStyle w:val="StandardWeb"/>
      </w:pPr>
      <w:r>
        <w:rPr>
          <w:rStyle w:val="Fett"/>
          <w:color w:val="000000"/>
        </w:rPr>
        <w:t>Beispiele</w:t>
      </w:r>
      <w:r>
        <w:rPr>
          <w:rStyle w:val="Fett"/>
        </w:rPr>
        <w:t xml:space="preserve"> </w:t>
      </w:r>
    </w:p>
    <w:p w:rsidR="001D5D1B" w:rsidRDefault="001D5D1B" w:rsidP="001D5D1B">
      <w:pPr>
        <w:pStyle w:val="StandardWeb"/>
      </w:pPr>
      <w:r>
        <w:rPr>
          <w:color w:val="000000"/>
        </w:rPr>
        <w:t>48 Blätter</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rPr>
          <w:color w:val="000000"/>
        </w:rPr>
        <w:t>Gezählte Blätter mit Text auf beiden Seiten</w:t>
      </w:r>
    </w:p>
    <w:p w:rsidR="001D5D1B" w:rsidRDefault="001D5D1B" w:rsidP="001D5D1B">
      <w:pPr>
        <w:pStyle w:val="StandardWeb"/>
      </w:pPr>
      <w:r>
        <w:rPr>
          <w:rStyle w:val="jlqj4b"/>
          <w:color w:val="000000"/>
        </w:rPr>
        <w:t>232 Seiten, 48 Spalten</w:t>
      </w:r>
    </w:p>
    <w:p w:rsidR="001D5D1B" w:rsidRDefault="001D5D1B" w:rsidP="001D5D1B">
      <w:pPr>
        <w:pStyle w:val="StandardWeb"/>
      </w:pPr>
    </w:p>
    <w:p w:rsidR="001D5D1B" w:rsidRDefault="001D5D1B" w:rsidP="001D5D1B">
      <w:pPr>
        <w:pStyle w:val="StandardWeb"/>
      </w:pPr>
      <w:r>
        <w:rPr>
          <w:rStyle w:val="jlqj4b"/>
          <w:color w:val="000000"/>
        </w:rPr>
        <w:t>Erfassen Sie die Zahl auf der letzten gezählten Seite, dem letzten gezählten Blatt oder der letzten gezählten Spalte jeder gezählten Folge als grundlegende Angabe zum Umfang, mit allen erforderlichen Ergänzungen gemäß den einschlägigen Regeln (z. B. im Abschnitt </w:t>
      </w:r>
      <w:r>
        <w:rPr>
          <w:rStyle w:val="jlqj4b"/>
          <w:color w:val="FF0000"/>
        </w:rPr>
        <w:t xml:space="preserve"> </w:t>
      </w:r>
      <w:hyperlink r:id="rId7" w:history="1">
        <w:r>
          <w:rPr>
            <w:rStyle w:val="Hyperlink"/>
          </w:rPr>
          <w:t>Ungezählte Seiten oder Blätter</w:t>
        </w:r>
      </w:hyperlink>
      <w:r>
        <w:rPr>
          <w:rStyle w:val="jlqj4b"/>
          <w:color w:val="FF0000"/>
        </w:rPr>
        <w:t xml:space="preserve"> </w:t>
      </w:r>
      <w:r>
        <w:rPr>
          <w:rStyle w:val="jlqj4b"/>
          <w:color w:val="000000"/>
        </w:rPr>
        <w:t>).</w:t>
      </w:r>
      <w:r>
        <w:t xml:space="preserve"> </w:t>
      </w:r>
      <w:r>
        <w:rPr>
          <w:color w:val="000000"/>
        </w:rPr>
        <w:t> </w:t>
      </w:r>
      <w:proofErr w:type="gramStart"/>
      <w:r>
        <w:rPr>
          <w:color w:val="000000"/>
        </w:rPr>
        <w:t>Erfassen</w:t>
      </w:r>
      <w:r>
        <w:t xml:space="preserve"> </w:t>
      </w:r>
      <w:r>
        <w:rPr>
          <w:rStyle w:val="jlqj4b"/>
          <w:color w:val="000000"/>
        </w:rPr>
        <w:t> Sie</w:t>
      </w:r>
      <w:proofErr w:type="gramEnd"/>
      <w:r>
        <w:rPr>
          <w:rStyle w:val="jlqj4b"/>
          <w:color w:val="000000"/>
        </w:rPr>
        <w:t xml:space="preserve"> arabische und römische Zahlen, wie sie in der Manifestation erscheinen.</w:t>
      </w:r>
      <w:r>
        <w:t xml:space="preserve"> </w:t>
      </w:r>
      <w:r>
        <w:rPr>
          <w:color w:val="000000"/>
        </w:rPr>
        <w:t> </w:t>
      </w:r>
      <w:proofErr w:type="gramStart"/>
      <w:r>
        <w:rPr>
          <w:color w:val="000000"/>
        </w:rPr>
        <w:t>Erfassen</w:t>
      </w:r>
      <w:r>
        <w:t xml:space="preserve"> </w:t>
      </w:r>
      <w:r>
        <w:rPr>
          <w:rStyle w:val="jlqj4b"/>
          <w:color w:val="000000"/>
        </w:rPr>
        <w:t> Sie</w:t>
      </w:r>
      <w:proofErr w:type="gramEnd"/>
      <w:r>
        <w:rPr>
          <w:rStyle w:val="jlqj4b"/>
          <w:color w:val="000000"/>
        </w:rPr>
        <w:t xml:space="preserve"> römische Zahlen in Groß- oder Kleinbuchstaben, wie sie erscheinen.</w:t>
      </w:r>
      <w:r>
        <w:t xml:space="preserve"> </w:t>
      </w:r>
      <w:r>
        <w:rPr>
          <w:color w:val="000000"/>
        </w:rPr>
        <w:t> </w:t>
      </w:r>
      <w:r>
        <w:t xml:space="preserve"> </w:t>
      </w:r>
      <w:r>
        <w:rPr>
          <w:rStyle w:val="jlqj4b"/>
          <w:color w:val="000000"/>
        </w:rPr>
        <w:t xml:space="preserve">Wenn die Seiten, Blätter oder Spalten mit </w:t>
      </w:r>
      <w:r>
        <w:rPr>
          <w:rStyle w:val="jlqj4b"/>
          <w:color w:val="000000"/>
        </w:rPr>
        <w:lastRenderedPageBreak/>
        <w:t>Buchstaben </w:t>
      </w:r>
      <w:r>
        <w:rPr>
          <w:rStyle w:val="jlqj4b"/>
          <w:color w:val="000000"/>
          <w:u w:val="single"/>
        </w:rPr>
        <w:t>gezählt</w:t>
      </w:r>
      <w:r>
        <w:rPr>
          <w:rStyle w:val="jlqj4b"/>
          <w:color w:val="000000"/>
        </w:rPr>
        <w:t> sind, erfassen Sie den ersten und letzten Buchstaben in Verbindung mit dem Wort, das die Seiten, Blätter oder Spalten bezeichnet.</w:t>
      </w:r>
      <w:r>
        <w:t xml:space="preserve"> </w:t>
      </w:r>
      <w:r>
        <w:rPr>
          <w:color w:val="000000"/>
        </w:rPr>
        <w:t> </w:t>
      </w:r>
      <w:r>
        <w:t xml:space="preserve"> </w:t>
      </w:r>
      <w:r>
        <w:rPr>
          <w:rStyle w:val="jlqj4b"/>
          <w:color w:val="000000"/>
        </w:rPr>
        <w:t>Verwenden Sie arabische Zahlen, um Seiten usw. zu bezeichnen, die in Worten oder anderen Zeichen als arabischen oder römischen Zahlen gezählt sind, und machen Sie immer eine erläuternde Anmerkung.</w:t>
      </w:r>
    </w:p>
    <w:p w:rsidR="001D5D1B" w:rsidRDefault="001D5D1B" w:rsidP="001D5D1B">
      <w:pPr>
        <w:pStyle w:val="StandardWeb"/>
      </w:pPr>
      <w:r>
        <w:rPr>
          <w:rStyle w:val="Fett"/>
          <w:color w:val="000000"/>
        </w:rPr>
        <w:t>Beispiele</w:t>
      </w:r>
      <w:r>
        <w:rPr>
          <w:rStyle w:val="Fett"/>
        </w:rPr>
        <w:t xml:space="preserve"> </w:t>
      </w:r>
    </w:p>
    <w:p w:rsidR="001D5D1B" w:rsidRDefault="001D5D1B" w:rsidP="001D5D1B">
      <w:pPr>
        <w:pStyle w:val="StandardWeb"/>
      </w:pPr>
      <w:r>
        <w:t>VIII, 256 Seiten, Blatt A-D</w:t>
      </w:r>
    </w:p>
    <w:p w:rsidR="001D5D1B" w:rsidRDefault="001D5D1B" w:rsidP="001D5D1B">
      <w:pPr>
        <w:pStyle w:val="StandardWeb"/>
      </w:pPr>
      <w:r>
        <w:t>87, [1] Seiten</w:t>
      </w:r>
    </w:p>
    <w:p w:rsidR="001D5D1B" w:rsidRDefault="001D5D1B" w:rsidP="001D5D1B">
      <w:pPr>
        <w:pStyle w:val="StandardWeb"/>
      </w:pPr>
      <w:r>
        <w:rPr>
          <w:rStyle w:val="Hervorhebung"/>
          <w:color w:val="000000"/>
        </w:rPr>
        <w:t>oder</w:t>
      </w:r>
      <w:r>
        <w:rPr>
          <w:rStyle w:val="Hervorhebung"/>
        </w:rPr>
        <w:t xml:space="preserve"> </w:t>
      </w:r>
    </w:p>
    <w:p w:rsidR="001D5D1B" w:rsidRDefault="001D5D1B" w:rsidP="001D5D1B">
      <w:pPr>
        <w:pStyle w:val="StandardWeb"/>
      </w:pPr>
      <w:r>
        <w:rPr>
          <w:color w:val="000000"/>
        </w:rPr>
        <w:t>87 Seiten, [1] Seite</w:t>
      </w:r>
    </w:p>
    <w:p w:rsidR="001D5D1B" w:rsidRDefault="001D5D1B" w:rsidP="001D5D1B">
      <w:pPr>
        <w:pStyle w:val="StandardWeb"/>
      </w:pPr>
    </w:p>
    <w:p w:rsidR="001D5D1B" w:rsidRDefault="001D5D1B" w:rsidP="001D5D1B">
      <w:pPr>
        <w:pStyle w:val="StandardWeb"/>
      </w:pPr>
      <w:r>
        <w:rPr>
          <w:color w:val="000000"/>
        </w:rPr>
        <w:t>56, 8 Seiten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rPr>
          <w:color w:val="000000"/>
        </w:rPr>
        <w:t>Die letzten 8 Seiten sind mit hebräischen Zahlzeichen gezählt.</w:t>
      </w:r>
    </w:p>
    <w:p w:rsidR="001D5D1B" w:rsidRDefault="001D5D1B" w:rsidP="001D5D1B">
      <w:pPr>
        <w:pStyle w:val="StandardWeb"/>
      </w:pPr>
      <w:r>
        <w:rPr>
          <w:rStyle w:val="q4iawc"/>
          <w:b/>
          <w:bCs/>
          <w:color w:val="000000"/>
        </w:rPr>
        <w:t>Ungezählte Seiten oder Blätter</w:t>
      </w:r>
      <w:r>
        <w:rPr>
          <w:rStyle w:val="jlqj4b"/>
          <w:b/>
          <w:bCs/>
          <w:color w:val="000000"/>
        </w:rPr>
        <w:t xml:space="preserve"> </w:t>
      </w:r>
    </w:p>
    <w:p w:rsidR="001D5D1B" w:rsidRDefault="001D5D1B" w:rsidP="001D5D1B">
      <w:pPr>
        <w:pStyle w:val="StandardWeb"/>
      </w:pPr>
      <w:r>
        <w:rPr>
          <w:rStyle w:val="jlqj4b"/>
          <w:color w:val="000000"/>
        </w:rPr>
        <w:t>Erfassen Sie ungezählte Folgen von Seiten oder Blättern gemäß den Begriffen, die verwendet werden, um den Rest der Manifestation oder den Teil der Manifestation, mit dem sie verbunden sind, zu beschreiben.</w:t>
      </w:r>
      <w:r>
        <w:t xml:space="preserve"> </w:t>
      </w:r>
      <w:r>
        <w:rPr>
          <w:color w:val="000000"/>
        </w:rPr>
        <w:t> </w:t>
      </w:r>
      <w:proofErr w:type="gramStart"/>
      <w:r>
        <w:rPr>
          <w:color w:val="000000"/>
        </w:rPr>
        <w:t>Im </w:t>
      </w:r>
      <w:r>
        <w:t xml:space="preserve"> </w:t>
      </w:r>
      <w:r>
        <w:rPr>
          <w:rStyle w:val="jlqj4b"/>
          <w:color w:val="000000"/>
        </w:rPr>
        <w:t>Zweifelsfall</w:t>
      </w:r>
      <w:proofErr w:type="gramEnd"/>
      <w:r>
        <w:rPr>
          <w:rStyle w:val="jlqj4b"/>
          <w:color w:val="000000"/>
        </w:rPr>
        <w:t xml:space="preserve"> gelten sie als Blätter, wenn sie alle nur auf einer Seite bedruckt sind;</w:t>
      </w:r>
      <w:r>
        <w:t xml:space="preserve"> </w:t>
      </w:r>
      <w:r>
        <w:rPr>
          <w:color w:val="000000"/>
        </w:rPr>
        <w:t> </w:t>
      </w:r>
      <w:r>
        <w:t xml:space="preserve"> </w:t>
      </w:r>
      <w:r>
        <w:rPr>
          <w:rStyle w:val="jlqj4b"/>
          <w:color w:val="000000"/>
        </w:rPr>
        <w:t>andernfalls zählen sie als Seiten.</w:t>
      </w:r>
      <w:r>
        <w:t xml:space="preserve"> </w:t>
      </w:r>
      <w:r>
        <w:rPr>
          <w:color w:val="000000"/>
        </w:rPr>
        <w:t> </w:t>
      </w:r>
      <w:r>
        <w:t xml:space="preserve"> </w:t>
      </w:r>
      <w:r>
        <w:rPr>
          <w:rStyle w:val="jlqj4b"/>
          <w:color w:val="000000"/>
        </w:rPr>
        <w:t>Wenn die Lagen erkennbar sind, schließen Sie leere Blätter zu Beginn der ersten Lage oder am Ende der letzten Lage in die Zählung ein, wenn sie in der Vorlage vorhanden sind oder bekanntermaßen in anderen Exemplaren der Manifestation vorhanden sind.</w:t>
      </w:r>
      <w:r>
        <w:t xml:space="preserve"> </w:t>
      </w:r>
      <w:r>
        <w:rPr>
          <w:color w:val="000000"/>
        </w:rPr>
        <w:t> </w:t>
      </w:r>
      <w:r>
        <w:t xml:space="preserve"> </w:t>
      </w:r>
      <w:r>
        <w:rPr>
          <w:rStyle w:val="jlqj4b"/>
          <w:color w:val="000000"/>
        </w:rPr>
        <w:t xml:space="preserve">Geben Sie das Vorhandensein solcher leeren Blätter in </w:t>
      </w:r>
      <w:proofErr w:type="gramStart"/>
      <w:r>
        <w:rPr>
          <w:rStyle w:val="jlqj4b"/>
          <w:color w:val="000000"/>
        </w:rPr>
        <w:t>einer </w:t>
      </w:r>
      <w:r>
        <w:t xml:space="preserve"> </w:t>
      </w:r>
      <w:r>
        <w:rPr>
          <w:rStyle w:val="jlqj4b"/>
          <w:color w:val="003366"/>
        </w:rPr>
        <w:t>Anmerkung</w:t>
      </w:r>
      <w:proofErr w:type="gramEnd"/>
      <w:r>
        <w:rPr>
          <w:rStyle w:val="jlqj4b"/>
        </w:rPr>
        <w:t xml:space="preserve">  </w:t>
      </w:r>
      <w:r>
        <w:t xml:space="preserve"> </w:t>
      </w:r>
      <w:r>
        <w:rPr>
          <w:rStyle w:val="jlqj4b"/>
          <w:color w:val="000000"/>
        </w:rPr>
        <w:t>an, falls dies als wichtig erachtet wird.</w:t>
      </w:r>
      <w:r>
        <w:t xml:space="preserve"> </w:t>
      </w:r>
      <w:r>
        <w:rPr>
          <w:color w:val="000000"/>
        </w:rPr>
        <w:t> </w:t>
      </w:r>
      <w:r>
        <w:t xml:space="preserve"> </w:t>
      </w:r>
      <w:r>
        <w:rPr>
          <w:rStyle w:val="jlqj4b"/>
          <w:color w:val="000000"/>
        </w:rPr>
        <w:t>Zählen Sie leere Blätter, die gemäß der Signaturzahl fehlen und bei anderen Exemplaren nicht bekannt sind, nicht mit.</w:t>
      </w:r>
      <w:r>
        <w:t xml:space="preserve"> </w:t>
      </w:r>
      <w:r>
        <w:rPr>
          <w:color w:val="000000"/>
        </w:rPr>
        <w:t> </w:t>
      </w:r>
      <w:r>
        <w:t xml:space="preserve"> </w:t>
      </w:r>
      <w:r>
        <w:rPr>
          <w:rStyle w:val="jlqj4b"/>
          <w:color w:val="000000"/>
        </w:rPr>
        <w:t>Erfassen Sie die Anzahl ungezählter Seiten oder Blätter in eckigen Klammern.</w:t>
      </w:r>
    </w:p>
    <w:p w:rsidR="001D5D1B" w:rsidRDefault="001D5D1B" w:rsidP="001D5D1B">
      <w:pPr>
        <w:pStyle w:val="StandardWeb"/>
      </w:pPr>
      <w:r>
        <w:rPr>
          <w:rStyle w:val="Fett"/>
          <w:color w:val="000000"/>
        </w:rPr>
        <w:t>Beispiele</w:t>
      </w:r>
      <w:r>
        <w:rPr>
          <w:rStyle w:val="Fett"/>
        </w:rPr>
        <w:t xml:space="preserve"> </w:t>
      </w:r>
    </w:p>
    <w:p w:rsidR="001D5D1B" w:rsidRDefault="001D5D1B" w:rsidP="001D5D1B">
      <w:pPr>
        <w:pStyle w:val="StandardWeb"/>
      </w:pPr>
      <w:r>
        <w:rPr>
          <w:color w:val="000000"/>
        </w:rPr>
        <w:t>[4], 52 Seiten</w:t>
      </w:r>
    </w:p>
    <w:p w:rsidR="001D5D1B" w:rsidRDefault="001D5D1B" w:rsidP="001D5D1B">
      <w:pPr>
        <w:pStyle w:val="StandardWeb"/>
      </w:pPr>
    </w:p>
    <w:p w:rsidR="001D5D1B" w:rsidRDefault="001D5D1B" w:rsidP="001D5D1B">
      <w:pPr>
        <w:pStyle w:val="StandardWeb"/>
      </w:pPr>
      <w:r>
        <w:rPr>
          <w:color w:val="000000"/>
        </w:rPr>
        <w:t>[4], 73, [3] Seiten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rPr>
          <w:color w:val="000000"/>
        </w:rPr>
        <w:t xml:space="preserve">Das erste und letzte Blatt </w:t>
      </w:r>
      <w:proofErr w:type="gramStart"/>
      <w:r>
        <w:rPr>
          <w:color w:val="000000"/>
        </w:rPr>
        <w:t>sind</w:t>
      </w:r>
      <w:proofErr w:type="gramEnd"/>
      <w:r>
        <w:rPr>
          <w:color w:val="000000"/>
        </w:rPr>
        <w:t xml:space="preserve"> leer</w:t>
      </w:r>
    </w:p>
    <w:p w:rsidR="001D5D1B" w:rsidRDefault="001D5D1B" w:rsidP="001D5D1B">
      <w:pPr>
        <w:pStyle w:val="StandardWeb"/>
      </w:pPr>
    </w:p>
    <w:p w:rsidR="001D5D1B" w:rsidRDefault="001D5D1B" w:rsidP="001D5D1B">
      <w:pPr>
        <w:pStyle w:val="StandardWeb"/>
      </w:pPr>
      <w:r>
        <w:t>IV, [40], 328 Seiten</w:t>
      </w:r>
    </w:p>
    <w:p w:rsidR="001D5D1B" w:rsidRDefault="001D5D1B" w:rsidP="001D5D1B">
      <w:pPr>
        <w:pStyle w:val="StandardWeb"/>
      </w:pPr>
    </w:p>
    <w:p w:rsidR="001D5D1B" w:rsidRDefault="001D5D1B" w:rsidP="001D5D1B">
      <w:pPr>
        <w:pStyle w:val="StandardWeb"/>
      </w:pPr>
      <w:r>
        <w:t>[12], 112 Seiten, Blatt 113-120, Seite 121-568, Blatt 569-604, Seite 605-913, [15] Seiten</w:t>
      </w:r>
    </w:p>
    <w:p w:rsidR="001D5D1B" w:rsidRDefault="001D5D1B" w:rsidP="001D5D1B">
      <w:pPr>
        <w:pStyle w:val="StandardWeb"/>
      </w:pPr>
      <w:r>
        <w:rPr>
          <w:rStyle w:val="Fett"/>
        </w:rPr>
        <w:t>Mehrere Folgen von Zählungen</w:t>
      </w:r>
      <w:r>
        <w:rPr>
          <w:rStyle w:val="viiyi"/>
        </w:rPr>
        <w:t xml:space="preserve"> </w:t>
      </w:r>
    </w:p>
    <w:p w:rsidR="001D5D1B" w:rsidRDefault="001D5D1B" w:rsidP="001D5D1B">
      <w:pPr>
        <w:pStyle w:val="StandardWeb"/>
      </w:pPr>
      <w:r>
        <w:rPr>
          <w:rStyle w:val="q4iawc"/>
        </w:rPr>
        <w:t>Wenn sich die Form der Zählung innerhalb einer Folge ändert (z. B. von römischen zu arabischen Ziffern), erfassen Sie jeden anders gezählten Teil der Folge.</w:t>
      </w:r>
      <w:r>
        <w:rPr>
          <w:rStyle w:val="jlqj4b"/>
        </w:rPr>
        <w:t xml:space="preserve"> </w:t>
      </w:r>
      <w:r>
        <w:rPr>
          <w:rStyle w:val="viiyi"/>
        </w:rPr>
        <w:t> </w:t>
      </w:r>
      <w:r>
        <w:rPr>
          <w:rStyle w:val="jlqj4b"/>
        </w:rPr>
        <w:t xml:space="preserve"> </w:t>
      </w:r>
      <w:r>
        <w:rPr>
          <w:rStyle w:val="q4iawc"/>
        </w:rPr>
        <w:t>Wenn ungezählte Seiten zwischen den beiden Arten der Zählung erscheinen, geben Sie die Gesamtzahl der ungezählten Seiten in arabischen Ziffern in eckigen Klammern an.</w:t>
      </w:r>
      <w:r>
        <w:rPr>
          <w:rStyle w:val="jlqj4b"/>
        </w:rPr>
        <w:t xml:space="preserve"> </w:t>
      </w:r>
    </w:p>
    <w:p w:rsidR="001D5D1B" w:rsidRDefault="001D5D1B" w:rsidP="001D5D1B">
      <w:pPr>
        <w:pStyle w:val="StandardWeb"/>
      </w:pPr>
      <w:r>
        <w:rPr>
          <w:rStyle w:val="Fett"/>
        </w:rPr>
        <w:t>Beispiele</w:t>
      </w:r>
    </w:p>
    <w:p w:rsidR="001D5D1B" w:rsidRDefault="001D5D1B" w:rsidP="001D5D1B">
      <w:pPr>
        <w:pStyle w:val="StandardWeb"/>
      </w:pPr>
      <w:r>
        <w:t>XVI Seiten, Seite 17-328</w:t>
      </w:r>
    </w:p>
    <w:p w:rsidR="001D5D1B" w:rsidRDefault="001D5D1B" w:rsidP="001D5D1B">
      <w:pPr>
        <w:pStyle w:val="StandardWeb"/>
      </w:pPr>
    </w:p>
    <w:p w:rsidR="001D5D1B" w:rsidRDefault="001D5D1B" w:rsidP="001D5D1B">
      <w:pPr>
        <w:pStyle w:val="StandardWeb"/>
      </w:pPr>
      <w:r>
        <w:t>xv, [2] Seiten, Seite 18-328</w:t>
      </w:r>
    </w:p>
    <w:p w:rsidR="001D5D1B" w:rsidRDefault="001D5D1B" w:rsidP="001D5D1B">
      <w:pPr>
        <w:pStyle w:val="StandardWeb"/>
      </w:pPr>
      <w:r>
        <w:rPr>
          <w:rStyle w:val="Fett"/>
        </w:rPr>
        <w:t>Fehlerhafte Zählung</w:t>
      </w:r>
    </w:p>
    <w:p w:rsidR="001D5D1B" w:rsidRDefault="001D5D1B" w:rsidP="001D5D1B">
      <w:pPr>
        <w:pStyle w:val="StandardWeb"/>
      </w:pPr>
      <w:r>
        <w:rPr>
          <w:rStyle w:val="q4iawc"/>
        </w:rPr>
        <w:t>Wenn die Zählung auf der letzten Seite, dem letzten Blatt oder der letzten Spalte einer Folge nicht korrekt ist, erfassen Sie </w:t>
      </w:r>
      <w:r>
        <w:rPr>
          <w:rStyle w:val="viiyi"/>
        </w:rPr>
        <w:t xml:space="preserve"> </w:t>
      </w:r>
      <w:r>
        <w:rPr>
          <w:rStyle w:val="q4iawc"/>
        </w:rPr>
        <w:t>entweder die Folgen genau, um die Fehlerquelle anzugeben, oder erfassen Sie die in der Manifestation angegebene Zählung </w:t>
      </w:r>
      <w:r>
        <w:rPr>
          <w:rStyle w:val="jlqj4b"/>
        </w:rPr>
        <w:t xml:space="preserve"> </w:t>
      </w:r>
      <w:r>
        <w:rPr>
          <w:rStyle w:val="q4iawc"/>
        </w:rPr>
        <w:t>und eine Korrektur dazu.</w:t>
      </w:r>
      <w:r>
        <w:rPr>
          <w:rStyle w:val="jlqj4b"/>
        </w:rPr>
        <w:t xml:space="preserve"> </w:t>
      </w:r>
      <w:r>
        <w:rPr>
          <w:rStyle w:val="viiyi"/>
        </w:rPr>
        <w:t> </w:t>
      </w:r>
      <w:r>
        <w:rPr>
          <w:rStyle w:val="jlqj4b"/>
        </w:rPr>
        <w:t xml:space="preserve"> </w:t>
      </w:r>
      <w:r>
        <w:rPr>
          <w:rStyle w:val="q4iawc"/>
        </w:rPr>
        <w:t>Wenn Sie eine irreführende Zählung korrigieren, erfassen Sie die Zählung so, wie sie auf der letzten Seite oder dem letzten Blatt erscheint, gefolgt von „das heißt“ und der korrekten Zählung.</w:t>
      </w:r>
      <w:r>
        <w:rPr>
          <w:rStyle w:val="jlqj4b"/>
        </w:rPr>
        <w:t xml:space="preserve"> </w:t>
      </w:r>
      <w:r>
        <w:rPr>
          <w:rStyle w:val="viiyi"/>
        </w:rPr>
        <w:t> </w:t>
      </w:r>
      <w:r>
        <w:rPr>
          <w:rStyle w:val="jlqj4b"/>
        </w:rPr>
        <w:t xml:space="preserve"> </w:t>
      </w:r>
      <w:r>
        <w:rPr>
          <w:rStyle w:val="q4iawc"/>
        </w:rPr>
        <w:t>Geben Sie einen erläuternden Hinweis zum Umfang der Manifestation an, falls dies als wichtig erachtet wird.</w:t>
      </w:r>
      <w:r>
        <w:rPr>
          <w:rStyle w:val="jlqj4b"/>
        </w:rPr>
        <w:t xml:space="preserve"> </w:t>
      </w:r>
    </w:p>
    <w:p w:rsidR="001D5D1B" w:rsidRDefault="001D5D1B" w:rsidP="001D5D1B">
      <w:pPr>
        <w:pStyle w:val="StandardWeb"/>
      </w:pPr>
      <w:r>
        <w:rPr>
          <w:rStyle w:val="viiyi"/>
        </w:rPr>
        <w:t>Wenn Sie feststellen, dass es weitere fehlerhafte Zählungen in der Ressource gibt, wenden Sie die Regel analog an.</w:t>
      </w:r>
    </w:p>
    <w:p w:rsidR="001D5D1B" w:rsidRDefault="001D5D1B" w:rsidP="001D5D1B">
      <w:pPr>
        <w:pStyle w:val="StandardWeb"/>
      </w:pPr>
      <w:r>
        <w:rPr>
          <w:rStyle w:val="viiyi"/>
          <w:b/>
          <w:bCs/>
        </w:rPr>
        <w:t>Beispiel</w:t>
      </w:r>
      <w:r>
        <w:rPr>
          <w:rStyle w:val="Fett"/>
        </w:rPr>
        <w:t xml:space="preserve"> </w:t>
      </w:r>
    </w:p>
    <w:p w:rsidR="001D5D1B" w:rsidRDefault="001D5D1B" w:rsidP="001D5D1B">
      <w:pPr>
        <w:pStyle w:val="StandardWeb"/>
      </w:pPr>
      <w:r>
        <w:t>766, das heißt 768 Seiten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t>Auf Seite 560 folgt 559</w:t>
      </w:r>
    </w:p>
    <w:p w:rsidR="001D5D1B" w:rsidRDefault="001D5D1B" w:rsidP="001D5D1B">
      <w:pPr>
        <w:pStyle w:val="StandardWeb"/>
      </w:pPr>
      <w:r>
        <w:rPr>
          <w:rStyle w:val="Hervorhebung"/>
        </w:rPr>
        <w:t>oder</w:t>
      </w:r>
      <w:r>
        <w:rPr>
          <w:rStyle w:val="viiyi"/>
        </w:rPr>
        <w:t xml:space="preserve"> </w:t>
      </w:r>
    </w:p>
    <w:p w:rsidR="001D5D1B" w:rsidRDefault="001D5D1B" w:rsidP="001D5D1B">
      <w:pPr>
        <w:pStyle w:val="StandardWeb"/>
      </w:pPr>
      <w:r>
        <w:rPr>
          <w:rStyle w:val="viiyi"/>
        </w:rPr>
        <w:t>560 Seiten, Seite 559-766</w:t>
      </w:r>
    </w:p>
    <w:p w:rsidR="001D5D1B" w:rsidRDefault="001D5D1B" w:rsidP="001D5D1B">
      <w:pPr>
        <w:pStyle w:val="StandardWeb"/>
      </w:pPr>
    </w:p>
    <w:p w:rsidR="001D5D1B" w:rsidRDefault="001D5D1B" w:rsidP="001D5D1B">
      <w:pPr>
        <w:pStyle w:val="StandardWeb"/>
      </w:pPr>
      <w:r>
        <w:rPr>
          <w:rStyle w:val="q4iawc"/>
        </w:rPr>
        <w:t>Wenn die Manifestation als Blätter gezählt, aber als Seiten gedruckt wurde, erfassen Sie die Zählung als Blätter.</w:t>
      </w:r>
      <w:r>
        <w:rPr>
          <w:rStyle w:val="jlqj4b"/>
        </w:rPr>
        <w:t xml:space="preserve"> </w:t>
      </w:r>
      <w:r>
        <w:rPr>
          <w:rStyle w:val="viiyi"/>
        </w:rPr>
        <w:t> </w:t>
      </w:r>
      <w:r>
        <w:rPr>
          <w:rStyle w:val="jlqj4b"/>
        </w:rPr>
        <w:t xml:space="preserve"> </w:t>
      </w:r>
      <w:r>
        <w:rPr>
          <w:rStyle w:val="q4iawc"/>
        </w:rPr>
        <w:t>Erfassen Sie als Umfang nicht die entsprechende Seitenzahl.</w:t>
      </w:r>
      <w:r>
        <w:rPr>
          <w:rStyle w:val="jlqj4b"/>
        </w:rPr>
        <w:t xml:space="preserve"> </w:t>
      </w:r>
    </w:p>
    <w:p w:rsidR="001D5D1B" w:rsidRDefault="001D5D1B" w:rsidP="001D5D1B">
      <w:pPr>
        <w:pStyle w:val="StandardWeb"/>
      </w:pPr>
      <w:r>
        <w:rPr>
          <w:rStyle w:val="q4iawc"/>
          <w:b/>
          <w:bCs/>
        </w:rPr>
        <w:t>Fehlende Zählung</w:t>
      </w:r>
      <w:r>
        <w:rPr>
          <w:rStyle w:val="jlqj4b"/>
          <w:b/>
          <w:bCs/>
        </w:rPr>
        <w:t xml:space="preserve"> </w:t>
      </w:r>
    </w:p>
    <w:p w:rsidR="001D5D1B" w:rsidRDefault="001D5D1B" w:rsidP="001D5D1B">
      <w:pPr>
        <w:pStyle w:val="StandardWeb"/>
      </w:pPr>
      <w:r>
        <w:rPr>
          <w:rStyle w:val="q4iawc"/>
        </w:rPr>
        <w:lastRenderedPageBreak/>
        <w:t>Wenn der Band weder eine Seiten- noch eine Blatt- oder Spaltenzählung hat, zählen Sie die Seiten oder Blätter und erfassen Sie die Gesamtzahl in arabischen Ziffern in eckigen Klammern.</w:t>
      </w:r>
      <w:r>
        <w:rPr>
          <w:rStyle w:val="jlqj4b"/>
        </w:rPr>
        <w:t xml:space="preserve"> </w:t>
      </w:r>
      <w:r>
        <w:rPr>
          <w:rStyle w:val="viiyi"/>
        </w:rPr>
        <w:t> </w:t>
      </w:r>
      <w:r>
        <w:rPr>
          <w:rStyle w:val="jlqj4b"/>
        </w:rPr>
        <w:t xml:space="preserve"> </w:t>
      </w:r>
      <w:r>
        <w:rPr>
          <w:rStyle w:val="q4iawc"/>
        </w:rPr>
        <w:t>Geben Sie die Gesamtzahl in Seiten oder in Blättern an.</w:t>
      </w:r>
      <w:r>
        <w:rPr>
          <w:rStyle w:val="jlqj4b"/>
        </w:rPr>
        <w:t xml:space="preserve"> </w:t>
      </w:r>
      <w:r>
        <w:rPr>
          <w:rStyle w:val="viiyi"/>
        </w:rPr>
        <w:t> </w:t>
      </w:r>
      <w:r>
        <w:rPr>
          <w:rStyle w:val="jlqj4b"/>
        </w:rPr>
        <w:t xml:space="preserve"> </w:t>
      </w:r>
      <w:r>
        <w:rPr>
          <w:rStyle w:val="q4iawc"/>
        </w:rPr>
        <w:t>Beginnen Sie die Zählung mit der ersten Seite oder dem ersten Blatt der ersten Lage und beenden Sie die Zählung mit der letzten Seite oder dem letzten Blatt der letzten Lage.</w:t>
      </w:r>
      <w:r>
        <w:rPr>
          <w:rStyle w:val="jlqj4b"/>
        </w:rPr>
        <w:t xml:space="preserve"> </w:t>
      </w:r>
      <w:r>
        <w:rPr>
          <w:rStyle w:val="viiyi"/>
        </w:rPr>
        <w:t> </w:t>
      </w:r>
      <w:r>
        <w:rPr>
          <w:rStyle w:val="jlqj4b"/>
        </w:rPr>
        <w:t xml:space="preserve"> </w:t>
      </w:r>
      <w:r>
        <w:rPr>
          <w:rStyle w:val="q4iawc"/>
        </w:rPr>
        <w:t>Zählen Sie alle leeren Seiten oder Blätter.</w:t>
      </w:r>
      <w:r>
        <w:rPr>
          <w:rStyle w:val="jlqj4b"/>
        </w:rPr>
        <w:t xml:space="preserve"> </w:t>
      </w:r>
    </w:p>
    <w:p w:rsidR="001D5D1B" w:rsidRDefault="001D5D1B" w:rsidP="001D5D1B">
      <w:pPr>
        <w:pStyle w:val="StandardWeb"/>
      </w:pPr>
      <w:r>
        <w:rPr>
          <w:rStyle w:val="q4iawc"/>
          <w:b/>
          <w:bCs/>
        </w:rPr>
        <w:t>Beispiel</w:t>
      </w:r>
      <w:r>
        <w:rPr>
          <w:rStyle w:val="jlqj4b"/>
          <w:b/>
          <w:bCs/>
        </w:rPr>
        <w:t xml:space="preserve"> </w:t>
      </w:r>
    </w:p>
    <w:p w:rsidR="001D5D1B" w:rsidRDefault="001D5D1B" w:rsidP="001D5D1B">
      <w:pPr>
        <w:pStyle w:val="StandardWeb"/>
      </w:pPr>
      <w:r>
        <w:t>[94] Seiten</w:t>
      </w:r>
    </w:p>
    <w:p w:rsidR="001D5D1B" w:rsidRDefault="001D5D1B" w:rsidP="001D5D1B">
      <w:pPr>
        <w:pStyle w:val="StandardWeb"/>
      </w:pPr>
      <w:r>
        <w:rPr>
          <w:rStyle w:val="q4iawc"/>
        </w:rPr>
        <w:t xml:space="preserve">Wenn der physische Zustand des vorliegenden Exemplars eine Bestimmung der Gesamtzahl der Seiten oder Blätter nicht </w:t>
      </w:r>
      <w:proofErr w:type="spellStart"/>
      <w:r>
        <w:rPr>
          <w:rStyle w:val="q4iawc"/>
        </w:rPr>
        <w:t>zuläßt</w:t>
      </w:r>
      <w:proofErr w:type="spellEnd"/>
      <w:r>
        <w:rPr>
          <w:rStyle w:val="q4iawc"/>
        </w:rPr>
        <w:t>, geben Sie optional die entsprechende Bezeichnung (z. B. „Band“) aus </w:t>
      </w:r>
      <w:r>
        <w:rPr>
          <w:rStyle w:val="q4iawc"/>
          <w:color w:val="003366"/>
        </w:rPr>
        <w:t xml:space="preserve"> </w:t>
      </w:r>
      <w:r>
        <w:rPr>
          <w:rStyle w:val="q4iawc"/>
          <w:color w:val="000000"/>
        </w:rPr>
        <w:t>dem normierten Vokabular des Elements </w:t>
      </w:r>
      <w:r>
        <w:rPr>
          <w:rStyle w:val="q4iawc"/>
          <w:color w:val="003366"/>
        </w:rPr>
        <w:t xml:space="preserve"> </w:t>
      </w:r>
      <w:hyperlink r:id="rId8" w:history="1">
        <w:r>
          <w:rPr>
            <w:rStyle w:val="Hyperlink"/>
            <w:color w:val="FF00FF"/>
          </w:rPr>
          <w:t>Datenträgertyp</w:t>
        </w:r>
        <w:r>
          <w:rPr>
            <w:rStyle w:val="Hyperlink"/>
            <w:color w:val="003366"/>
          </w:rPr>
          <w:t xml:space="preserve"> </w:t>
        </w:r>
        <w:r>
          <w:rPr>
            <w:rStyle w:val="Hyperlink"/>
          </w:rPr>
          <w:t> </w:t>
        </w:r>
      </w:hyperlink>
      <w:r>
        <w:rPr>
          <w:rStyle w:val="q4iawc"/>
        </w:rPr>
        <w:t>an, gefolgt von „(</w:t>
      </w:r>
      <w:r>
        <w:rPr>
          <w:rStyle w:val="jlqj4b"/>
        </w:rPr>
        <w:t xml:space="preserve"> </w:t>
      </w:r>
      <w:r>
        <w:rPr>
          <w:rStyle w:val="viiyi"/>
        </w:rPr>
        <w:t>nicht paginiert</w:t>
      </w:r>
      <w:r>
        <w:rPr>
          <w:rStyle w:val="jlqj4b"/>
        </w:rPr>
        <w:t xml:space="preserve"> </w:t>
      </w:r>
      <w:r>
        <w:rPr>
          <w:rStyle w:val="q4iawc"/>
        </w:rPr>
        <w:t>)“ oder „(nicht foliiert)“.</w:t>
      </w:r>
      <w:r>
        <w:rPr>
          <w:rStyle w:val="jlqj4b"/>
        </w:rPr>
        <w:t xml:space="preserve"> </w:t>
      </w:r>
    </w:p>
    <w:p w:rsidR="001D5D1B" w:rsidRDefault="001D5D1B" w:rsidP="001D5D1B">
      <w:pPr>
        <w:pStyle w:val="StandardWeb"/>
      </w:pPr>
      <w:r>
        <w:rPr>
          <w:rStyle w:val="q4iawc"/>
          <w:b/>
          <w:bCs/>
        </w:rPr>
        <w:t>Beispiel</w:t>
      </w:r>
      <w:r>
        <w:rPr>
          <w:rStyle w:val="jlqj4b"/>
          <w:b/>
          <w:bCs/>
        </w:rPr>
        <w:t xml:space="preserve"> </w:t>
      </w:r>
    </w:p>
    <w:p w:rsidR="001D5D1B" w:rsidRDefault="001D5D1B" w:rsidP="001D5D1B">
      <w:pPr>
        <w:pStyle w:val="StandardWeb"/>
      </w:pPr>
      <w:r>
        <w:t>1 Band (nicht paginiert)</w:t>
      </w:r>
    </w:p>
    <w:p w:rsidR="001D5D1B" w:rsidRDefault="001D5D1B" w:rsidP="001D5D1B">
      <w:pPr>
        <w:pStyle w:val="StandardWeb"/>
      </w:pPr>
      <w:r>
        <w:rPr>
          <w:rStyle w:val="Fett"/>
        </w:rPr>
        <w:t>Blätter oder Seiten mit Tafeln</w:t>
      </w:r>
    </w:p>
    <w:p w:rsidR="001D5D1B" w:rsidRDefault="001D5D1B" w:rsidP="001D5D1B">
      <w:pPr>
        <w:pStyle w:val="StandardWeb"/>
      </w:pPr>
      <w:r>
        <w:t>Erfassen Sie die Anzahl der Blätter oder Seiten mit Tafeln am Ende der Umfangsangabe, unabhängig davon, ob die Tafeln zusammen oder über die Manifestation verteilt eingebunden sind. Erfassen Sie die Anzahl, auch wenn nur eine Tafel vorhanden ist. Zählen Sie nicht gezählte Blätter oder Seiten mit Tafeln, wie sie sich präsentieren, unabhängig von Begriffen, die verwendet werden, um den Rest der Manifestation zu beschreiben.</w:t>
      </w:r>
    </w:p>
    <w:p w:rsidR="001D5D1B" w:rsidRDefault="001D5D1B" w:rsidP="001D5D1B">
      <w:pPr>
        <w:pStyle w:val="StandardWeb"/>
      </w:pPr>
      <w:r>
        <w:rPr>
          <w:rStyle w:val="Fett"/>
        </w:rPr>
        <w:t>Beispiele</w:t>
      </w:r>
    </w:p>
    <w:p w:rsidR="001D5D1B" w:rsidRDefault="001D5D1B" w:rsidP="001D5D1B">
      <w:pPr>
        <w:pStyle w:val="StandardWeb"/>
      </w:pPr>
      <w:r>
        <w:t>xii, 277, [11] Seiten, 48 Seiten Tafeln</w:t>
      </w:r>
    </w:p>
    <w:p w:rsidR="001D5D1B" w:rsidRDefault="001D5D1B" w:rsidP="001D5D1B">
      <w:pPr>
        <w:pStyle w:val="StandardWeb"/>
      </w:pPr>
    </w:p>
    <w:p w:rsidR="001D5D1B" w:rsidRDefault="001D5D1B" w:rsidP="001D5D1B">
      <w:pPr>
        <w:pStyle w:val="StandardWeb"/>
      </w:pPr>
      <w:r>
        <w:t>x, 32, [2] Seiten, xxii Blätter Tafeln</w:t>
      </w:r>
    </w:p>
    <w:p w:rsidR="001D5D1B" w:rsidRDefault="001D5D1B" w:rsidP="001D5D1B">
      <w:pPr>
        <w:pStyle w:val="StandardWeb"/>
      </w:pPr>
    </w:p>
    <w:p w:rsidR="001D5D1B" w:rsidRDefault="001D5D1B" w:rsidP="001D5D1B">
      <w:pPr>
        <w:pStyle w:val="StandardWeb"/>
      </w:pPr>
      <w:r>
        <w:t>[12] Seiten, 924 Spalten, [129], 432, [18], 43 Seiten, Spalte 44-77, [6] Seiten, Seite 90-160, [6] Seiten, [1] Blatt Tafel</w:t>
      </w:r>
    </w:p>
    <w:p w:rsidR="001D5D1B" w:rsidRDefault="001D5D1B" w:rsidP="001D5D1B">
      <w:pPr>
        <w:pStyle w:val="StandardWeb"/>
      </w:pPr>
      <w:r>
        <w:rPr>
          <w:rStyle w:val="Fett"/>
        </w:rPr>
        <w:t>Tafeln mit Titelcharakter</w:t>
      </w:r>
    </w:p>
    <w:p w:rsidR="001D5D1B" w:rsidRDefault="001D5D1B" w:rsidP="001D5D1B">
      <w:pPr>
        <w:pStyle w:val="StandardWeb"/>
      </w:pPr>
      <w:r>
        <w:t>Zählen Sie Seiten oder Blätter mit Titelcharakter (z. B. Frontispize, Kupfertitel) als Blätter Tafeln oder Seiten Tafeln, wenn sie ganz oder hauptsächlich nicht im Buchdruckverfahren hergestellt wurden und nicht Bestandteil einer Lage sind, die überwiegend im Buchdruckverfahren hergestellt wurde.</w:t>
      </w:r>
    </w:p>
    <w:p w:rsidR="001D5D1B" w:rsidRDefault="001D5D1B" w:rsidP="001D5D1B">
      <w:pPr>
        <w:pStyle w:val="StandardWeb"/>
      </w:pPr>
      <w:r>
        <w:t>Erfassen Sie Seiten oder Blätter mit Titelcharakter am Anfang der Umfangsangabe.</w:t>
      </w:r>
    </w:p>
    <w:p w:rsidR="001D5D1B" w:rsidRDefault="001D5D1B" w:rsidP="001D5D1B">
      <w:pPr>
        <w:pStyle w:val="StandardWeb"/>
      </w:pPr>
      <w:r>
        <w:t>Im Zweifelsfall erfassen Sie Seiten oder Blätter mit Titelcharakter separat.</w:t>
      </w:r>
    </w:p>
    <w:p w:rsidR="001D5D1B" w:rsidRDefault="001D5D1B" w:rsidP="001D5D1B">
      <w:pPr>
        <w:pStyle w:val="StandardWeb"/>
      </w:pPr>
      <w:r>
        <w:lastRenderedPageBreak/>
        <w:t>Machen Sie dazu eine</w:t>
      </w:r>
      <w:r>
        <w:rPr>
          <w:color w:val="000000"/>
        </w:rPr>
        <w:t> Anmerkung</w:t>
      </w:r>
      <w:r>
        <w:t>.</w:t>
      </w:r>
    </w:p>
    <w:p w:rsidR="001D5D1B" w:rsidRDefault="001D5D1B" w:rsidP="001D5D1B">
      <w:pPr>
        <w:pStyle w:val="StandardWeb"/>
      </w:pPr>
      <w:r>
        <w:rPr>
          <w:rStyle w:val="Fett"/>
        </w:rPr>
        <w:t>Beispiele</w:t>
      </w:r>
    </w:p>
    <w:p w:rsidR="001D5D1B" w:rsidRDefault="001D5D1B" w:rsidP="001D5D1B">
      <w:pPr>
        <w:pStyle w:val="StandardWeb"/>
      </w:pPr>
      <w:r>
        <w:t>[1] Blatt Tafel, 112 Seiten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t>Die Tafel hat ein gestochenes Titelblatt auf der Vorderseite und eine leere Rückseite</w:t>
      </w:r>
    </w:p>
    <w:p w:rsidR="001D5D1B" w:rsidRDefault="001D5D1B" w:rsidP="001D5D1B">
      <w:pPr>
        <w:pStyle w:val="StandardWeb"/>
      </w:pPr>
    </w:p>
    <w:p w:rsidR="001D5D1B" w:rsidRDefault="001D5D1B" w:rsidP="001D5D1B">
      <w:pPr>
        <w:pStyle w:val="StandardWeb"/>
      </w:pPr>
      <w:r>
        <w:t>[2] Blätter Tafeln, [10], 192, [2] Seiten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t>Mit einem gestochenen Titelblatt und einem Frontispiz, die als Tafeln gezählt wurden.</w:t>
      </w:r>
    </w:p>
    <w:p w:rsidR="001D5D1B" w:rsidRDefault="001D5D1B" w:rsidP="001D5D1B">
      <w:pPr>
        <w:pStyle w:val="StandardWeb"/>
      </w:pPr>
      <w:r>
        <w:t>aber</w:t>
      </w:r>
    </w:p>
    <w:p w:rsidR="001D5D1B" w:rsidRDefault="001D5D1B" w:rsidP="001D5D1B">
      <w:pPr>
        <w:pStyle w:val="StandardWeb"/>
      </w:pPr>
      <w:r>
        <w:t>113 Seiten</w:t>
      </w:r>
      <w:r>
        <w:br/>
      </w:r>
      <w:r>
        <w:rPr>
          <w:rStyle w:val="Hervorhebung"/>
        </w:rPr>
        <w:t>Der Kupfertitel ist Teil der ersten Lage.</w:t>
      </w:r>
    </w:p>
    <w:p w:rsidR="001D5D1B" w:rsidRDefault="001D5D1B" w:rsidP="001D5D1B">
      <w:pPr>
        <w:pStyle w:val="StandardWeb"/>
      </w:pPr>
      <w:r>
        <w:rPr>
          <w:rStyle w:val="Fett"/>
        </w:rPr>
        <w:t>Gefaltete Tafeln</w:t>
      </w:r>
    </w:p>
    <w:p w:rsidR="001D5D1B" w:rsidRDefault="001D5D1B" w:rsidP="001D5D1B">
      <w:pPr>
        <w:pStyle w:val="StandardWeb"/>
      </w:pPr>
      <w:r>
        <w:t>Erfassen Sie gefaltete Tafeln als Blätter Tafeln oder Seiten Tafeln. Zählen Sie eine Tafel als gefaltetes Blatt Tafel, unabhängig davon, wie sie montiert ist. Machen Sie eine </w:t>
      </w:r>
      <w:r>
        <w:rPr>
          <w:color w:val="003366"/>
        </w:rPr>
        <w:t>Anmerkung</w:t>
      </w:r>
      <w:r>
        <w:t>, wenn die gefalteten Tafeln im Buchdruckverfahren hergestellt wurden (z. B. Tabellen, die nicht Teil einer Lage sind), falls Sie dies als notwendig erachten.</w:t>
      </w:r>
    </w:p>
    <w:p w:rsidR="001D5D1B" w:rsidRDefault="001D5D1B" w:rsidP="001D5D1B">
      <w:pPr>
        <w:pStyle w:val="StandardWeb"/>
      </w:pPr>
      <w:r>
        <w:rPr>
          <w:rStyle w:val="Fett"/>
        </w:rPr>
        <w:t>Beispiele</w:t>
      </w:r>
    </w:p>
    <w:p w:rsidR="001D5D1B" w:rsidRDefault="001D5D1B" w:rsidP="001D5D1B">
      <w:pPr>
        <w:pStyle w:val="StandardWeb"/>
      </w:pPr>
      <w:r>
        <w:t>[8], 30, [8] Seiten, Seite 31-213, [3] Seiten, [3] gefaltete Blätter Tafeln</w:t>
      </w:r>
    </w:p>
    <w:p w:rsidR="001D5D1B" w:rsidRDefault="001D5D1B" w:rsidP="001D5D1B">
      <w:pPr>
        <w:pStyle w:val="StandardWeb"/>
      </w:pPr>
    </w:p>
    <w:p w:rsidR="001D5D1B" w:rsidRDefault="001D5D1B" w:rsidP="001D5D1B">
      <w:pPr>
        <w:pStyle w:val="StandardWeb"/>
      </w:pPr>
      <w:r>
        <w:t>183, [1] Seiten, [9] Blätter Tafeln (7 gefaltet)</w:t>
      </w:r>
    </w:p>
    <w:p w:rsidR="001D5D1B" w:rsidRDefault="001D5D1B" w:rsidP="001D5D1B">
      <w:pPr>
        <w:pStyle w:val="StandardWeb"/>
      </w:pPr>
    </w:p>
    <w:p w:rsidR="001D5D1B" w:rsidRDefault="001D5D1B" w:rsidP="001D5D1B">
      <w:pPr>
        <w:pStyle w:val="StandardWeb"/>
      </w:pPr>
      <w:r>
        <w:t>[10], 199, das heißt 203, [33] Seiten, [3] gefaltete Blätter Tafeln</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t>Die gefalteten Blätter sind Tabellen, die im Buchdruckverfahren hergestellt sind.</w:t>
      </w:r>
    </w:p>
    <w:p w:rsidR="001D5D1B" w:rsidRDefault="001D5D1B" w:rsidP="001D5D1B">
      <w:pPr>
        <w:pStyle w:val="StandardWeb"/>
      </w:pPr>
      <w:r>
        <w:rPr>
          <w:rStyle w:val="Fett"/>
        </w:rPr>
        <w:t>Einblattdrucke</w:t>
      </w:r>
    </w:p>
    <w:p w:rsidR="001D5D1B" w:rsidRDefault="001D5D1B" w:rsidP="001D5D1B">
      <w:pPr>
        <w:pStyle w:val="StandardWeb"/>
      </w:pPr>
      <w:r>
        <w:t xml:space="preserve">Für eine Manifestation, die aus einem Bogen besteht, der dazu bestimmt ist, ungefaltet verwendet zu werden (egal ob er gefaltet oder ungefaltet vorliegt), fügen Sie in Klammern </w:t>
      </w:r>
      <w:r>
        <w:lastRenderedPageBreak/>
        <w:t>eine Angabe zur Paginierung auf der Grundlage der Anzahl der bedruckten Seiten hinzu. Auf diese Angabe können Sie verzichten, wenn der Bogen nur einseitig bedruckt ist.</w:t>
      </w:r>
    </w:p>
    <w:p w:rsidR="001D5D1B" w:rsidRDefault="001D5D1B" w:rsidP="001D5D1B">
      <w:pPr>
        <w:pStyle w:val="StandardWeb"/>
      </w:pPr>
      <w:r>
        <w:t>Wenden Sie die Regel auch für Einblattdrucke an, die aus mehreren Bögen montiert wurden oder aus Teilbögen bestehen.</w:t>
      </w:r>
    </w:p>
    <w:p w:rsidR="001D5D1B" w:rsidRDefault="001D5D1B" w:rsidP="001D5D1B">
      <w:pPr>
        <w:pStyle w:val="StandardWeb"/>
      </w:pPr>
      <w:r>
        <w:rPr>
          <w:rStyle w:val="Fett"/>
        </w:rPr>
        <w:t>Beispiele</w:t>
      </w:r>
    </w:p>
    <w:p w:rsidR="001D5D1B" w:rsidRDefault="001D5D1B" w:rsidP="001D5D1B">
      <w:pPr>
        <w:pStyle w:val="StandardWeb"/>
      </w:pPr>
      <w:r>
        <w:t>1 Bogen (2 Seiten)</w:t>
      </w:r>
    </w:p>
    <w:p w:rsidR="001D5D1B" w:rsidRDefault="001D5D1B" w:rsidP="001D5D1B">
      <w:pPr>
        <w:pStyle w:val="StandardWeb"/>
      </w:pPr>
      <w:r>
        <w:rPr>
          <w:rStyle w:val="Hervorhebung"/>
        </w:rPr>
        <w:t>Bogen, beidseitig bedruckt, gezählt</w:t>
      </w:r>
    </w:p>
    <w:p w:rsidR="001D5D1B" w:rsidRDefault="001D5D1B" w:rsidP="001D5D1B">
      <w:pPr>
        <w:pStyle w:val="StandardWeb"/>
      </w:pPr>
    </w:p>
    <w:p w:rsidR="001D5D1B" w:rsidRDefault="001D5D1B" w:rsidP="001D5D1B">
      <w:pPr>
        <w:pStyle w:val="StandardWeb"/>
      </w:pPr>
      <w:r>
        <w:t>1 Bogen ([2] Seiten)</w:t>
      </w:r>
      <w:r>
        <w:br/>
      </w:r>
      <w:r>
        <w:rPr>
          <w:rStyle w:val="Hervorhebung"/>
        </w:rPr>
        <w:t>Bogen, beidseitig bedruckt, ungezählt</w:t>
      </w:r>
    </w:p>
    <w:p w:rsidR="001D5D1B" w:rsidRDefault="001D5D1B" w:rsidP="001D5D1B">
      <w:pPr>
        <w:pStyle w:val="StandardWeb"/>
      </w:pPr>
    </w:p>
    <w:p w:rsidR="001D5D1B" w:rsidRDefault="001D5D1B" w:rsidP="001D5D1B">
      <w:pPr>
        <w:pStyle w:val="StandardWeb"/>
      </w:pPr>
      <w:r>
        <w:t>1 Bogen (3 Seiten)</w:t>
      </w:r>
    </w:p>
    <w:p w:rsidR="001D5D1B" w:rsidRDefault="001D5D1B" w:rsidP="001D5D1B">
      <w:pPr>
        <w:pStyle w:val="StandardWeb"/>
      </w:pPr>
      <w:r>
        <w:rPr>
          <w:rStyle w:val="Hervorhebung"/>
        </w:rPr>
        <w:t>Gefalteter Bogen mit Titel und Impressum, als zwei Seiten auf der Außenseite des Bogens gedruckt; alle Texte als eine Seite gedruckt, die die gesamte Innenseite des Bogens einnimmt</w:t>
      </w:r>
    </w:p>
    <w:p w:rsidR="001D5D1B" w:rsidRDefault="001D5D1B" w:rsidP="001D5D1B">
      <w:pPr>
        <w:pStyle w:val="StandardWeb"/>
      </w:pPr>
    </w:p>
    <w:p w:rsidR="001D5D1B" w:rsidRDefault="001D5D1B" w:rsidP="001D5D1B">
      <w:pPr>
        <w:pStyle w:val="StandardWeb"/>
      </w:pPr>
      <w:r>
        <w:t>1 Bogen (1 Seite)</w:t>
      </w:r>
      <w:r>
        <w:br/>
      </w:r>
      <w:r>
        <w:rPr>
          <w:rStyle w:val="Hervorhebung"/>
        </w:rPr>
        <w:t>Flugblatt oder anderer einseitig bedruckter Bogen, gezählt</w:t>
      </w:r>
    </w:p>
    <w:p w:rsidR="001D5D1B" w:rsidRDefault="001D5D1B" w:rsidP="001D5D1B">
      <w:pPr>
        <w:pStyle w:val="StandardWeb"/>
      </w:pPr>
      <w:r>
        <w:rPr>
          <w:rStyle w:val="Hervorhebung"/>
        </w:rPr>
        <w:t>oder</w:t>
      </w:r>
    </w:p>
    <w:p w:rsidR="001D5D1B" w:rsidRDefault="001D5D1B" w:rsidP="001D5D1B">
      <w:pPr>
        <w:pStyle w:val="StandardWeb"/>
      </w:pPr>
      <w:r>
        <w:t>1 Bogen</w:t>
      </w:r>
    </w:p>
    <w:p w:rsidR="001D5D1B" w:rsidRDefault="001D5D1B" w:rsidP="001D5D1B">
      <w:pPr>
        <w:pStyle w:val="StandardWeb"/>
      </w:pPr>
    </w:p>
    <w:p w:rsidR="001D5D1B" w:rsidRDefault="001D5D1B" w:rsidP="001D5D1B">
      <w:pPr>
        <w:pStyle w:val="StandardWeb"/>
      </w:pPr>
      <w:r>
        <w:t>1 Bogen ([1] Seite)</w:t>
      </w:r>
      <w:r>
        <w:br/>
      </w:r>
      <w:r>
        <w:rPr>
          <w:rStyle w:val="Hervorhebung"/>
        </w:rPr>
        <w:t>Flugblatt oder anderer einseitig bedruckter Bogen, ungezählt</w:t>
      </w:r>
    </w:p>
    <w:p w:rsidR="001D5D1B" w:rsidRDefault="001D5D1B" w:rsidP="001D5D1B">
      <w:pPr>
        <w:pStyle w:val="StandardWeb"/>
      </w:pPr>
      <w:r>
        <w:rPr>
          <w:rStyle w:val="Hervorhebung"/>
          <w:color w:val="000000"/>
        </w:rPr>
        <w:t>oder</w:t>
      </w:r>
      <w:r>
        <w:rPr>
          <w:rStyle w:val="Hervorhebung"/>
        </w:rPr>
        <w:t xml:space="preserve"> </w:t>
      </w:r>
    </w:p>
    <w:p w:rsidR="001D5D1B" w:rsidRDefault="001D5D1B" w:rsidP="001D5D1B">
      <w:pPr>
        <w:pStyle w:val="StandardWeb"/>
      </w:pPr>
      <w:r>
        <w:rPr>
          <w:color w:val="000000"/>
        </w:rPr>
        <w:t>1 Bogen</w:t>
      </w:r>
    </w:p>
    <w:p w:rsidR="001D5D1B" w:rsidRDefault="001D5D1B" w:rsidP="001D5D1B">
      <w:pPr>
        <w:pStyle w:val="StandardWeb"/>
      </w:pPr>
      <w:r>
        <w:rPr>
          <w:rStyle w:val="Fett"/>
          <w:color w:val="000000"/>
        </w:rPr>
        <w:t>Mehrteilige Monografien</w:t>
      </w:r>
      <w:r>
        <w:rPr>
          <w:color w:val="000000"/>
        </w:rPr>
        <w:t xml:space="preserve"> </w:t>
      </w:r>
    </w:p>
    <w:p w:rsidR="001D5D1B" w:rsidRDefault="001D5D1B" w:rsidP="001D5D1B">
      <w:pPr>
        <w:pStyle w:val="StandardWeb"/>
      </w:pPr>
      <w:r>
        <w:t>Wenn eine Manifestation in mehr als einer bibliografischen Einheit erschienen ist, erfassen Sie die Anzahl der bibliografischen Einheiten in arabischen Ziffern, gefolgt von der entsprechenden Bezeichnung für die Einheit (z. B. „Bände“). Verwenden Sie bevorzugt die Terminologie aus </w:t>
      </w:r>
      <w:r>
        <w:rPr>
          <w:rStyle w:val="viiyi"/>
        </w:rPr>
        <w:t xml:space="preserve"> </w:t>
      </w:r>
      <w:r>
        <w:rPr>
          <w:rStyle w:val="q4iawc"/>
          <w:color w:val="003366"/>
        </w:rPr>
        <w:t>dem normierten Vokabular des Elements </w:t>
      </w:r>
      <w:r>
        <w:rPr>
          <w:rStyle w:val="q4iawc"/>
          <w:color w:val="FF00FF"/>
        </w:rPr>
        <w:t xml:space="preserve"> </w:t>
      </w:r>
      <w:hyperlink r:id="rId9" w:history="1">
        <w:r>
          <w:rPr>
            <w:rStyle w:val="Hyperlink"/>
          </w:rPr>
          <w:t>Datenträgertyp</w:t>
        </w:r>
      </w:hyperlink>
      <w:r>
        <w:rPr>
          <w:rStyle w:val="q4iawc"/>
          <w:color w:val="FF00FF"/>
        </w:rPr>
        <w:t xml:space="preserve"> </w:t>
      </w:r>
      <w:r>
        <w:t>.</w:t>
      </w:r>
    </w:p>
    <w:p w:rsidR="001D5D1B" w:rsidRDefault="001D5D1B" w:rsidP="001D5D1B">
      <w:pPr>
        <w:pStyle w:val="StandardWeb"/>
      </w:pPr>
      <w:r>
        <w:rPr>
          <w:rStyle w:val="Fett"/>
        </w:rPr>
        <w:t>Beispiel</w:t>
      </w:r>
    </w:p>
    <w:p w:rsidR="001D5D1B" w:rsidRDefault="001D5D1B" w:rsidP="001D5D1B">
      <w:pPr>
        <w:pStyle w:val="StandardWeb"/>
      </w:pPr>
      <w:r>
        <w:lastRenderedPageBreak/>
        <w:t>5 Bände</w:t>
      </w:r>
    </w:p>
    <w:p w:rsidR="001D5D1B" w:rsidRDefault="001D5D1B" w:rsidP="001D5D1B">
      <w:pPr>
        <w:pStyle w:val="StandardWeb"/>
      </w:pPr>
      <w:r>
        <w:t>Lassen Sie die Angabe weg, wenn sie nicht einfach zu bestimmen ist, oder wenn Sie sie nicht für notwendig erachten.</w:t>
      </w:r>
    </w:p>
    <w:p w:rsidR="001D5D1B" w:rsidRDefault="001D5D1B" w:rsidP="001D5D1B">
      <w:pPr>
        <w:pStyle w:val="StandardWeb"/>
      </w:pPr>
      <w:r>
        <w:t>Erfassen Sie den Umfang einer mehrteiligen Monografie abhängig davon, ob Sie eine umfassende oder eine hierarchische Beschreibung wählen.</w:t>
      </w:r>
    </w:p>
    <w:p w:rsidR="001D5D1B" w:rsidRDefault="001D5D1B" w:rsidP="001D5D1B">
      <w:pPr>
        <w:pStyle w:val="StandardWeb"/>
      </w:pPr>
    </w:p>
    <w:p w:rsidR="001D5D1B" w:rsidRDefault="001D5D1B" w:rsidP="001D5D1B">
      <w:pPr>
        <w:pStyle w:val="StandardWeb"/>
      </w:pPr>
      <w:r>
        <w:rPr>
          <w:rStyle w:val="Fett"/>
        </w:rPr>
        <w:t>Umfassende Beschreibung</w:t>
      </w:r>
    </w:p>
    <w:p w:rsidR="001D5D1B" w:rsidRDefault="001D5D1B" w:rsidP="001D5D1B">
      <w:pPr>
        <w:pStyle w:val="StandardWeb"/>
      </w:pPr>
      <w:r>
        <w:rPr>
          <w:rStyle w:val="Fett"/>
        </w:rPr>
        <w:t>Durchgehende Paginierung</w:t>
      </w:r>
      <w:r>
        <w:t> </w:t>
      </w:r>
    </w:p>
    <w:p w:rsidR="001D5D1B" w:rsidRDefault="001D5D1B" w:rsidP="001D5D1B">
      <w:pPr>
        <w:pStyle w:val="StandardWeb"/>
      </w:pPr>
      <w:r>
        <w:t>Wenn die Paginierung einer mehrteiligen Monografie fortlaufend ist, erfassen Sie die Anzahl der Seiten, Blätter oder Spalten in Klammern nach der Anzahl der Einheiten.</w:t>
      </w:r>
    </w:p>
    <w:p w:rsidR="001D5D1B" w:rsidRDefault="001D5D1B" w:rsidP="001D5D1B">
      <w:pPr>
        <w:pStyle w:val="StandardWeb"/>
      </w:pPr>
      <w:r>
        <w:rPr>
          <w:rStyle w:val="Fett"/>
        </w:rPr>
        <w:t>Beispiele</w:t>
      </w:r>
    </w:p>
    <w:p w:rsidR="001D5D1B" w:rsidRDefault="001D5D1B" w:rsidP="001D5D1B">
      <w:pPr>
        <w:pStyle w:val="StandardWeb"/>
      </w:pPr>
      <w:r>
        <w:t>2 Bände ([4], 848, [2] Seiten, Seite 851-1643, [1] Seite, [1] Blatt Tafel)</w:t>
      </w:r>
    </w:p>
    <w:p w:rsidR="001D5D1B" w:rsidRDefault="001D5D1B" w:rsidP="001D5D1B">
      <w:pPr>
        <w:pStyle w:val="StandardWeb"/>
      </w:pPr>
    </w:p>
    <w:p w:rsidR="001D5D1B" w:rsidRDefault="001D5D1B" w:rsidP="001D5D1B">
      <w:pPr>
        <w:pStyle w:val="StandardWeb"/>
      </w:pPr>
      <w:r>
        <w:t>vi, 200, [4] Seiten, CCC Blätter Tafeln</w:t>
      </w:r>
    </w:p>
    <w:p w:rsidR="001D5D1B" w:rsidRDefault="001D5D1B" w:rsidP="001D5D1B">
      <w:pPr>
        <w:pStyle w:val="StandardWeb"/>
      </w:pPr>
      <w:r>
        <w:rPr>
          <w:rStyle w:val="Hervorhebung"/>
        </w:rPr>
        <w:t>Die Angabe der Anzahl bibliografischer Einheiten wird hier als nicht notwendig aufgefasst</w:t>
      </w:r>
    </w:p>
    <w:p w:rsidR="001D5D1B" w:rsidRDefault="001D5D1B" w:rsidP="001D5D1B">
      <w:pPr>
        <w:pStyle w:val="StandardWeb"/>
      </w:pPr>
      <w:r>
        <w:t>Erfassen Sie die vollständige Paginierung im Umfang der Manifestation, wenn es separat gezählte oder ungezählte Begleittexte (z. B. Titeleien, Vorworte, Register) in anderen Bänden als dem ersten gibt, die die Reihenfolge der Paginierung unterbrechen, und deren Erfassung als wichtig erachtet wird. Befolgen Sie dann die Bestimmungen im folgenden Abschnitt Nicht-fortlaufende Paginierung.</w:t>
      </w:r>
    </w:p>
    <w:p w:rsidR="001D5D1B" w:rsidRDefault="001D5D1B" w:rsidP="001D5D1B">
      <w:pPr>
        <w:pStyle w:val="StandardWeb"/>
      </w:pPr>
    </w:p>
    <w:p w:rsidR="001D5D1B" w:rsidRDefault="001D5D1B" w:rsidP="001D5D1B">
      <w:pPr>
        <w:pStyle w:val="StandardWeb"/>
      </w:pPr>
      <w:r>
        <w:rPr>
          <w:rStyle w:val="Fett"/>
        </w:rPr>
        <w:t>Nicht-fortlaufende Paginierung </w:t>
      </w:r>
    </w:p>
    <w:p w:rsidR="001D5D1B" w:rsidRDefault="001D5D1B" w:rsidP="001D5D1B">
      <w:pPr>
        <w:pStyle w:val="StandardWeb"/>
      </w:pPr>
      <w:r>
        <w:t>Erfassen Sie optional, wenn die Paginierung einer mehrteiligen Monografie nicht fortlaufend ist, die Anzahl der Seiten, Blätter oder Spalten jeder Einheit entweder in Klammern nach der Anzahl der Einheiten oder in einer Anmerkung zum Umfang der Manifestation. Trennen Sie die Anzahl der einzelnen Einheiten durch ein Semikolon und ein Leerzeichen.</w:t>
      </w:r>
    </w:p>
    <w:p w:rsidR="001D5D1B" w:rsidRDefault="001D5D1B" w:rsidP="001D5D1B">
      <w:pPr>
        <w:pStyle w:val="StandardWeb"/>
      </w:pPr>
      <w:r>
        <w:t>Beispiele:</w:t>
      </w:r>
    </w:p>
    <w:p w:rsidR="001D5D1B" w:rsidRDefault="001D5D1B" w:rsidP="001D5D1B">
      <w:pPr>
        <w:pStyle w:val="StandardWeb"/>
      </w:pPr>
      <w:r>
        <w:t>4 Bände ([4], 527, [1]; 12, 548; 8, 533, [3]; 4, 499, [1] Seiten)</w:t>
      </w:r>
    </w:p>
    <w:p w:rsidR="001D5D1B" w:rsidRDefault="001D5D1B" w:rsidP="001D5D1B">
      <w:pPr>
        <w:pStyle w:val="StandardWeb"/>
      </w:pPr>
      <w:r>
        <w:t>2 Bände (4, lvi, 265, das heißt 267, [1] Seiten, [1] Blatt Tafel; [6] Seiten, Seite 3-294, [4] Blätter Tafeln)</w:t>
      </w:r>
    </w:p>
    <w:p w:rsidR="001D5D1B" w:rsidRDefault="001D5D1B" w:rsidP="001D5D1B">
      <w:pPr>
        <w:pStyle w:val="StandardWeb"/>
      </w:pPr>
    </w:p>
    <w:p w:rsidR="001D5D1B" w:rsidRDefault="001D5D1B" w:rsidP="001D5D1B">
      <w:pPr>
        <w:pStyle w:val="StandardWeb"/>
      </w:pPr>
      <w:r>
        <w:lastRenderedPageBreak/>
        <w:t>4 Bände</w:t>
      </w:r>
    </w:p>
    <w:p w:rsidR="001D5D1B" w:rsidRDefault="001D5D1B" w:rsidP="001D5D1B">
      <w:pPr>
        <w:pStyle w:val="StandardWeb"/>
      </w:pPr>
      <w:r>
        <w:rPr>
          <w:rStyle w:val="Hervorhebung"/>
          <w:color w:val="000000"/>
        </w:rPr>
        <w:t>Umfang der Manifestation: Anmerkung/Detail:</w:t>
      </w:r>
      <w:r>
        <w:rPr>
          <w:color w:val="000000"/>
        </w:rPr>
        <w:t xml:space="preserve"> </w:t>
      </w:r>
    </w:p>
    <w:p w:rsidR="001D5D1B" w:rsidRDefault="001D5D1B" w:rsidP="001D5D1B">
      <w:pPr>
        <w:pStyle w:val="StandardWeb"/>
      </w:pPr>
      <w:r>
        <w:t>Paginierung: vi, [2], 590 Seiten, [2] Blätter Tafeln; [4], 493, [1] Seiten, [2] Blätter Tafeln; [4], 519, [1] Seiten, [6] Blätter Tafeln; [4], 516, [20] Seiten, [16] Blätter Tafeln</w:t>
      </w:r>
    </w:p>
    <w:p w:rsidR="001D5D1B" w:rsidRDefault="001D5D1B" w:rsidP="001D5D1B">
      <w:pPr>
        <w:pStyle w:val="StandardWeb"/>
      </w:pPr>
      <w:r>
        <w:rPr>
          <w:rStyle w:val="Fett"/>
          <w:color w:val="000000"/>
        </w:rPr>
        <w:t>Hierarchische Beschreibung</w:t>
      </w:r>
      <w:r>
        <w:rPr>
          <w:rStyle w:val="Fett"/>
        </w:rPr>
        <w:t xml:space="preserve"> </w:t>
      </w:r>
    </w:p>
    <w:p w:rsidR="001D5D1B" w:rsidRDefault="001D5D1B" w:rsidP="001D5D1B">
      <w:pPr>
        <w:pStyle w:val="StandardWeb"/>
      </w:pPr>
      <w:r>
        <w:t>Wenden Sie die unter </w:t>
      </w:r>
      <w:r>
        <w:rPr>
          <w:color w:val="000000"/>
        </w:rPr>
        <w:t xml:space="preserve"> </w:t>
      </w:r>
      <w:hyperlink r:id="rId10" w:history="1">
        <w:r>
          <w:rPr>
            <w:rStyle w:val="Hyperlink"/>
          </w:rPr>
          <w:t>Mehrteilige Monografien</w:t>
        </w:r>
      </w:hyperlink>
      <w:r>
        <w:rPr>
          <w:color w:val="FF0000"/>
        </w:rPr>
        <w:t xml:space="preserve"> </w:t>
      </w:r>
      <w:r>
        <w:rPr>
          <w:color w:val="000000"/>
        </w:rPr>
        <w:t> </w:t>
      </w:r>
      <w:r>
        <w:t>beschriebenen Regelungen an, wenn Sie die Bände hierarchisch beschreiben.</w:t>
      </w:r>
    </w:p>
    <w:p w:rsidR="001D5D1B" w:rsidRDefault="001D5D1B" w:rsidP="001D5D1B">
      <w:pPr>
        <w:pStyle w:val="StandardWeb"/>
      </w:pPr>
      <w:r>
        <w:rPr>
          <w:rStyle w:val="Fett"/>
        </w:rPr>
        <w:t>Beispiel</w:t>
      </w:r>
    </w:p>
    <w:p w:rsidR="001D5D1B" w:rsidRDefault="001D5D1B" w:rsidP="001D5D1B">
      <w:pPr>
        <w:pStyle w:val="StandardWeb"/>
      </w:pPr>
      <w:r>
        <w:t>2 Bände</w:t>
      </w:r>
      <w:r>
        <w:br/>
      </w:r>
      <w:r>
        <w:rPr>
          <w:rStyle w:val="Hervorhebung"/>
        </w:rPr>
        <w:t>Beschreibung der hierarchischen Überordnung. Auf die Angabe der Anzahl von Bänden kann verzichtet werden.</w:t>
      </w:r>
    </w:p>
    <w:p w:rsidR="001D5D1B" w:rsidRDefault="001D5D1B" w:rsidP="001D5D1B">
      <w:pPr>
        <w:pStyle w:val="StandardWeb"/>
      </w:pPr>
      <w:r>
        <w:t>vi, [2], 590 Seiten, [2] Blätter Tafeln</w:t>
      </w:r>
      <w:r>
        <w:br/>
      </w:r>
      <w:r>
        <w:rPr>
          <w:rStyle w:val="Hervorhebung"/>
        </w:rPr>
        <w:t>Beschreibung der hierarchischen Unterordnung von Band 1</w:t>
      </w:r>
    </w:p>
    <w:p w:rsidR="001D5D1B" w:rsidRDefault="001D5D1B" w:rsidP="001D5D1B">
      <w:pPr>
        <w:pStyle w:val="StandardWeb"/>
      </w:pPr>
      <w:r>
        <w:t>[4], 493, [1] Seiten, [2] Blätter Tafeln</w:t>
      </w:r>
      <w:r>
        <w:br/>
      </w:r>
      <w:r>
        <w:rPr>
          <w:rStyle w:val="Hervorhebung"/>
        </w:rPr>
        <w:t>Beschreibung der hierarchischen Unterordnung von Band 2</w:t>
      </w:r>
    </w:p>
    <w:p w:rsidR="001D5D1B" w:rsidRDefault="001D5D1B" w:rsidP="001D5D1B">
      <w:pPr>
        <w:pStyle w:val="StandardWeb"/>
      </w:pPr>
      <w:r>
        <w:t>Alternativ:</w:t>
      </w:r>
    </w:p>
    <w:p w:rsidR="001D5D1B" w:rsidRDefault="001D5D1B" w:rsidP="001D5D1B">
      <w:pPr>
        <w:pStyle w:val="StandardWeb"/>
      </w:pPr>
      <w:r>
        <w:t>Erfassen Sie den Umfang aller Bände bei der umfassenden Beschreibung für die hierarchische Überordnung.</w:t>
      </w:r>
    </w:p>
    <w:p w:rsidR="001D5D1B" w:rsidRDefault="001D5D1B" w:rsidP="001D5D1B">
      <w:pPr>
        <w:pStyle w:val="StandardWeb"/>
      </w:pPr>
      <w:r>
        <w:rPr>
          <w:rStyle w:val="Fett"/>
        </w:rPr>
        <w:t>Beispiel</w:t>
      </w:r>
    </w:p>
    <w:p w:rsidR="001D5D1B" w:rsidRDefault="001D5D1B" w:rsidP="001D5D1B">
      <w:pPr>
        <w:pStyle w:val="StandardWeb"/>
      </w:pPr>
      <w:r>
        <w:t>2 Bände (vi, [2], 590 Seiten, [2] Blätter Tafeln; [4], 493, [1] Seiten, [2] Blätter Tafeln)</w:t>
      </w:r>
    </w:p>
    <w:p w:rsidR="001D5D1B" w:rsidRDefault="001D5D1B" w:rsidP="001D5D1B">
      <w:pPr>
        <w:pStyle w:val="StandardWeb"/>
      </w:pPr>
      <w:r>
        <w:rPr>
          <w:rStyle w:val="Fett"/>
        </w:rPr>
        <w:t>Durchgehende Paginierung</w:t>
      </w:r>
    </w:p>
    <w:p w:rsidR="001D5D1B" w:rsidRDefault="001D5D1B" w:rsidP="001D5D1B">
      <w:pPr>
        <w:pStyle w:val="StandardWeb"/>
      </w:pPr>
      <w:r>
        <w:t>Erfassen Sie die Anzahl der Seiten für jeden Band auch dann separat, wenn die Bände einer mehrteiligen Monografie durchgehend paginiert sind.</w:t>
      </w:r>
    </w:p>
    <w:p w:rsidR="001D5D1B" w:rsidRDefault="001D5D1B" w:rsidP="001D5D1B">
      <w:pPr>
        <w:pStyle w:val="StandardWeb"/>
      </w:pPr>
      <w:r>
        <w:rPr>
          <w:rStyle w:val="Fett"/>
        </w:rPr>
        <w:t>Beispiel</w:t>
      </w:r>
    </w:p>
    <w:p w:rsidR="001D5D1B" w:rsidRDefault="001D5D1B" w:rsidP="001D5D1B">
      <w:pPr>
        <w:pStyle w:val="StandardWeb"/>
      </w:pPr>
      <w:r>
        <w:t>2 Bände</w:t>
      </w:r>
      <w:r>
        <w:br/>
      </w:r>
      <w:r>
        <w:rPr>
          <w:rStyle w:val="Hervorhebung"/>
        </w:rPr>
        <w:t xml:space="preserve">Beschreibung der hierarchischen Überordnung. Auf die Angabe der Anzahl von Bänden kann verzichtet werden. </w:t>
      </w:r>
    </w:p>
    <w:p w:rsidR="001D5D1B" w:rsidRDefault="001D5D1B" w:rsidP="001D5D1B">
      <w:pPr>
        <w:pStyle w:val="StandardWeb"/>
      </w:pPr>
      <w:r>
        <w:t>[4], 848 Seiten, [1] Blatt Tafel</w:t>
      </w:r>
      <w:r>
        <w:br/>
      </w:r>
      <w:r>
        <w:rPr>
          <w:rStyle w:val="Hervorhebung"/>
        </w:rPr>
        <w:t>Beschreibung der hierarchischen Unterordnung von Band 1</w:t>
      </w:r>
    </w:p>
    <w:p w:rsidR="001D5D1B" w:rsidRDefault="001D5D1B" w:rsidP="001D5D1B">
      <w:pPr>
        <w:pStyle w:val="StandardWeb"/>
      </w:pPr>
      <w:r>
        <w:t>[2] Seiten, Seite 851-1643, [1] Seite</w:t>
      </w:r>
      <w:r>
        <w:br/>
      </w:r>
      <w:r>
        <w:rPr>
          <w:rStyle w:val="Hervorhebung"/>
        </w:rPr>
        <w:t>Beschreibung der hierarchischen Unterordnung von Band 2</w:t>
      </w:r>
    </w:p>
    <w:p w:rsidR="001D5D1B" w:rsidRDefault="001D5D1B" w:rsidP="001D5D1B">
      <w:pPr>
        <w:pStyle w:val="StandardWeb"/>
      </w:pPr>
      <w:r>
        <w:t>Alternativ:</w:t>
      </w:r>
    </w:p>
    <w:p w:rsidR="001D5D1B" w:rsidRDefault="001D5D1B" w:rsidP="001D5D1B">
      <w:pPr>
        <w:pStyle w:val="StandardWeb"/>
      </w:pPr>
      <w:r>
        <w:lastRenderedPageBreak/>
        <w:t>Erfassen Sie den Umfang aller Bände bei der umfassenden Beschreibung für die hierarchische Überordnung</w:t>
      </w:r>
    </w:p>
    <w:p w:rsidR="001D5D1B" w:rsidRDefault="001D5D1B" w:rsidP="001D5D1B">
      <w:pPr>
        <w:pStyle w:val="StandardWeb"/>
      </w:pPr>
      <w:r>
        <w:rPr>
          <w:rStyle w:val="Fett"/>
        </w:rPr>
        <w:t>Beispiel</w:t>
      </w:r>
    </w:p>
    <w:p w:rsidR="001D5D1B" w:rsidRDefault="001D5D1B" w:rsidP="001D5D1B">
      <w:pPr>
        <w:pStyle w:val="StandardWeb"/>
      </w:pPr>
      <w:r>
        <w:t>2 Bände ([4], 848, [2] Seiten, Seite 851-1643, [1] Seite, [1] Blatt Tafel)</w:t>
      </w:r>
    </w:p>
    <w:p w:rsidR="001D5D1B" w:rsidRDefault="001D5D1B" w:rsidP="001D5D1B">
      <w:pPr>
        <w:pStyle w:val="StandardWeb"/>
      </w:pPr>
      <w:r>
        <w:rPr>
          <w:rStyle w:val="Fett"/>
        </w:rPr>
        <w:t>Unvollständig erschienene Manifestationen</w:t>
      </w:r>
    </w:p>
    <w:p w:rsidR="001D5D1B" w:rsidRDefault="001D5D1B" w:rsidP="001D5D1B">
      <w:pPr>
        <w:pStyle w:val="StandardWeb"/>
      </w:pPr>
      <w:r>
        <w:t>Wenn eine Veröffentlichung, die für mehr als eine physische Einheit geplant ist, vor der Fertigstellung eingestellt oder anscheinend eingestellt wurde, beschreiben Sie diese entsprechend (d. h. Seitenzählung für einen einzelnen Band oder die Anzahl der Bände für mehrere Bände). Machen Sie immer eine </w:t>
      </w:r>
      <w:proofErr w:type="gramStart"/>
      <w:r>
        <w:rPr>
          <w:color w:val="003366"/>
        </w:rPr>
        <w:t>Anmerkung</w:t>
      </w:r>
      <w:r>
        <w:t xml:space="preserve"> </w:t>
      </w:r>
      <w:r>
        <w:rPr>
          <w:rStyle w:val="Hervorhebung"/>
        </w:rPr>
        <w:t>,</w:t>
      </w:r>
      <w:proofErr w:type="gramEnd"/>
      <w:r>
        <w:rPr>
          <w:rStyle w:val="Hervorhebung"/>
        </w:rPr>
        <w:t> </w:t>
      </w:r>
      <w:r>
        <w:t>aus der hervorgeht, dass keine weiteren Bände erschienen sind.</w:t>
      </w:r>
    </w:p>
    <w:p w:rsidR="001D5D1B" w:rsidRDefault="001D5D1B" w:rsidP="001D5D1B">
      <w:pPr>
        <w:pStyle w:val="StandardWeb"/>
      </w:pPr>
      <w:r>
        <w:rPr>
          <w:rStyle w:val="Fett"/>
          <w:color w:val="000000"/>
        </w:rPr>
        <w:t>Beispiel</w:t>
      </w:r>
      <w:r>
        <w:rPr>
          <w:rStyle w:val="Fett"/>
        </w:rPr>
        <w:t xml:space="preserve"> </w:t>
      </w:r>
    </w:p>
    <w:p w:rsidR="001D5D1B" w:rsidRDefault="001D5D1B" w:rsidP="001D5D1B">
      <w:pPr>
        <w:pStyle w:val="StandardWeb"/>
      </w:pPr>
      <w:r>
        <w:t>[8], xl, 507, [1], xxix, [3] Seiten</w:t>
      </w:r>
      <w:r>
        <w:br/>
      </w:r>
      <w:r>
        <w:rPr>
          <w:rStyle w:val="Hervorhebung"/>
        </w:rPr>
        <w:t>Auf der Titelseite steht „Erster Teil“.</w:t>
      </w:r>
    </w:p>
    <w:p w:rsidR="001D5D1B" w:rsidRDefault="001D5D1B" w:rsidP="001D5D1B">
      <w:pPr>
        <w:pStyle w:val="StandardWeb"/>
      </w:pPr>
      <w:r>
        <w:rPr>
          <w:rStyle w:val="Hervorhebung"/>
        </w:rPr>
        <w:t>Mehr nicht erschienen</w:t>
      </w:r>
    </w:p>
    <w:p w:rsidR="00067D1A" w:rsidRPr="001D5D1B" w:rsidRDefault="00067D1A" w:rsidP="001D5D1B">
      <w:bookmarkStart w:id="0" w:name="_GoBack"/>
      <w:bookmarkEnd w:id="0"/>
    </w:p>
    <w:sectPr w:rsidR="00067D1A" w:rsidRPr="001D5D1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587AE5"/>
    <w:multiLevelType w:val="multilevel"/>
    <w:tmpl w:val="121AC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D1A"/>
    <w:rsid w:val="00067D1A"/>
    <w:rsid w:val="001D5D1B"/>
    <w:rsid w:val="00EE74A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3AA796-9245-4CAF-BD18-84CE0D48A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067D1A"/>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067D1A"/>
    <w:rPr>
      <w:b/>
      <w:bCs/>
    </w:rPr>
  </w:style>
  <w:style w:type="character" w:styleId="Hyperlink">
    <w:name w:val="Hyperlink"/>
    <w:basedOn w:val="Absatz-Standardschriftart"/>
    <w:uiPriority w:val="99"/>
    <w:semiHidden/>
    <w:unhideWhenUsed/>
    <w:rsid w:val="00067D1A"/>
    <w:rPr>
      <w:color w:val="0000FF"/>
      <w:u w:val="single"/>
    </w:rPr>
  </w:style>
  <w:style w:type="character" w:customStyle="1" w:styleId="inline-comment-marker">
    <w:name w:val="inline-comment-marker"/>
    <w:basedOn w:val="Absatz-Standardschriftart"/>
    <w:rsid w:val="00067D1A"/>
  </w:style>
  <w:style w:type="paragraph" w:customStyle="1" w:styleId="with-breadcrumbs">
    <w:name w:val="with-breadcrumbs"/>
    <w:basedOn w:val="Standard"/>
    <w:rsid w:val="001D5D1B"/>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1D5D1B"/>
    <w:rPr>
      <w:i/>
      <w:iCs/>
    </w:rPr>
  </w:style>
  <w:style w:type="character" w:customStyle="1" w:styleId="jlqj4b">
    <w:name w:val="jlqj4b"/>
    <w:basedOn w:val="Absatz-Standardschriftart"/>
    <w:rsid w:val="001D5D1B"/>
  </w:style>
  <w:style w:type="character" w:customStyle="1" w:styleId="q4iawc">
    <w:name w:val="q4iawc"/>
    <w:basedOn w:val="Absatz-Standardschriftart"/>
    <w:rsid w:val="001D5D1B"/>
  </w:style>
  <w:style w:type="character" w:customStyle="1" w:styleId="viiyi">
    <w:name w:val="viiyi"/>
    <w:basedOn w:val="Absatz-Standardschriftart"/>
    <w:rsid w:val="001D5D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1193909">
      <w:bodyDiv w:val="1"/>
      <w:marLeft w:val="0"/>
      <w:marRight w:val="0"/>
      <w:marTop w:val="0"/>
      <w:marBottom w:val="0"/>
      <w:divBdr>
        <w:top w:val="none" w:sz="0" w:space="0" w:color="auto"/>
        <w:left w:val="none" w:sz="0" w:space="0" w:color="auto"/>
        <w:bottom w:val="none" w:sz="0" w:space="0" w:color="auto"/>
        <w:right w:val="none" w:sz="0" w:space="0" w:color="auto"/>
      </w:divBdr>
      <w:divsChild>
        <w:div w:id="939410811">
          <w:marLeft w:val="0"/>
          <w:marRight w:val="0"/>
          <w:marTop w:val="0"/>
          <w:marBottom w:val="0"/>
          <w:divBdr>
            <w:top w:val="none" w:sz="0" w:space="0" w:color="auto"/>
            <w:left w:val="none" w:sz="0" w:space="0" w:color="auto"/>
            <w:bottom w:val="none" w:sz="0" w:space="0" w:color="auto"/>
            <w:right w:val="none" w:sz="0" w:space="0" w:color="auto"/>
          </w:divBdr>
        </w:div>
      </w:divsChild>
    </w:div>
    <w:div w:id="1483504973">
      <w:bodyDiv w:val="1"/>
      <w:marLeft w:val="0"/>
      <w:marRight w:val="0"/>
      <w:marTop w:val="0"/>
      <w:marBottom w:val="0"/>
      <w:divBdr>
        <w:top w:val="none" w:sz="0" w:space="0" w:color="auto"/>
        <w:left w:val="none" w:sz="0" w:space="0" w:color="auto"/>
        <w:bottom w:val="none" w:sz="0" w:space="0" w:color="auto"/>
        <w:right w:val="none" w:sz="0" w:space="0" w:color="auto"/>
      </w:divBdr>
      <w:divsChild>
        <w:div w:id="18705485">
          <w:marLeft w:val="0"/>
          <w:marRight w:val="0"/>
          <w:marTop w:val="0"/>
          <w:marBottom w:val="0"/>
          <w:divBdr>
            <w:top w:val="none" w:sz="0" w:space="0" w:color="auto"/>
            <w:left w:val="none" w:sz="0" w:space="0" w:color="auto"/>
            <w:bottom w:val="none" w:sz="0" w:space="0" w:color="auto"/>
            <w:right w:val="none" w:sz="0" w:space="0" w:color="auto"/>
          </w:divBdr>
        </w:div>
        <w:div w:id="1151170911">
          <w:marLeft w:val="0"/>
          <w:marRight w:val="0"/>
          <w:marTop w:val="0"/>
          <w:marBottom w:val="0"/>
          <w:divBdr>
            <w:top w:val="none" w:sz="0" w:space="0" w:color="auto"/>
            <w:left w:val="none" w:sz="0" w:space="0" w:color="auto"/>
            <w:bottom w:val="none" w:sz="0" w:space="0" w:color="auto"/>
            <w:right w:val="none" w:sz="0" w:space="0" w:color="auto"/>
          </w:divBdr>
          <w:divsChild>
            <w:div w:id="622228754">
              <w:marLeft w:val="0"/>
              <w:marRight w:val="0"/>
              <w:marTop w:val="0"/>
              <w:marBottom w:val="0"/>
              <w:divBdr>
                <w:top w:val="none" w:sz="0" w:space="0" w:color="auto"/>
                <w:left w:val="none" w:sz="0" w:space="0" w:color="auto"/>
                <w:bottom w:val="none" w:sz="0" w:space="0" w:color="auto"/>
                <w:right w:val="none" w:sz="0" w:space="0" w:color="auto"/>
              </w:divBdr>
              <w:divsChild>
                <w:div w:id="1711028466">
                  <w:marLeft w:val="0"/>
                  <w:marRight w:val="0"/>
                  <w:marTop w:val="0"/>
                  <w:marBottom w:val="0"/>
                  <w:divBdr>
                    <w:top w:val="none" w:sz="0" w:space="0" w:color="auto"/>
                    <w:left w:val="none" w:sz="0" w:space="0" w:color="auto"/>
                    <w:bottom w:val="none" w:sz="0" w:space="0" w:color="auto"/>
                    <w:right w:val="none" w:sz="0" w:space="0" w:color="auto"/>
                  </w:divBdr>
                </w:div>
              </w:divsChild>
            </w:div>
            <w:div w:id="1609853076">
              <w:marLeft w:val="0"/>
              <w:marRight w:val="0"/>
              <w:marTop w:val="0"/>
              <w:marBottom w:val="0"/>
              <w:divBdr>
                <w:top w:val="none" w:sz="0" w:space="0" w:color="auto"/>
                <w:left w:val="none" w:sz="0" w:space="0" w:color="auto"/>
                <w:bottom w:val="none" w:sz="0" w:space="0" w:color="auto"/>
                <w:right w:val="none" w:sz="0" w:space="0" w:color="auto"/>
              </w:divBdr>
              <w:divsChild>
                <w:div w:id="1841308570">
                  <w:marLeft w:val="0"/>
                  <w:marRight w:val="0"/>
                  <w:marTop w:val="0"/>
                  <w:marBottom w:val="0"/>
                  <w:divBdr>
                    <w:top w:val="none" w:sz="0" w:space="0" w:color="auto"/>
                    <w:left w:val="none" w:sz="0" w:space="0" w:color="auto"/>
                    <w:bottom w:val="none" w:sz="0" w:space="0" w:color="auto"/>
                    <w:right w:val="none" w:sz="0" w:space="0" w:color="auto"/>
                  </w:divBdr>
                </w:div>
              </w:divsChild>
            </w:div>
            <w:div w:id="427970174">
              <w:marLeft w:val="0"/>
              <w:marRight w:val="0"/>
              <w:marTop w:val="0"/>
              <w:marBottom w:val="0"/>
              <w:divBdr>
                <w:top w:val="none" w:sz="0" w:space="0" w:color="auto"/>
                <w:left w:val="none" w:sz="0" w:space="0" w:color="auto"/>
                <w:bottom w:val="none" w:sz="0" w:space="0" w:color="auto"/>
                <w:right w:val="none" w:sz="0" w:space="0" w:color="auto"/>
              </w:divBdr>
              <w:divsChild>
                <w:div w:id="361440192">
                  <w:marLeft w:val="0"/>
                  <w:marRight w:val="0"/>
                  <w:marTop w:val="0"/>
                  <w:marBottom w:val="0"/>
                  <w:divBdr>
                    <w:top w:val="none" w:sz="0" w:space="0" w:color="auto"/>
                    <w:left w:val="none" w:sz="0" w:space="0" w:color="auto"/>
                    <w:bottom w:val="none" w:sz="0" w:space="0" w:color="auto"/>
                    <w:right w:val="none" w:sz="0" w:space="0" w:color="auto"/>
                  </w:divBdr>
                </w:div>
              </w:divsChild>
            </w:div>
            <w:div w:id="1957055109">
              <w:marLeft w:val="0"/>
              <w:marRight w:val="0"/>
              <w:marTop w:val="0"/>
              <w:marBottom w:val="0"/>
              <w:divBdr>
                <w:top w:val="none" w:sz="0" w:space="0" w:color="auto"/>
                <w:left w:val="none" w:sz="0" w:space="0" w:color="auto"/>
                <w:bottom w:val="none" w:sz="0" w:space="0" w:color="auto"/>
                <w:right w:val="none" w:sz="0" w:space="0" w:color="auto"/>
              </w:divBdr>
              <w:divsChild>
                <w:div w:id="1562329099">
                  <w:marLeft w:val="0"/>
                  <w:marRight w:val="0"/>
                  <w:marTop w:val="0"/>
                  <w:marBottom w:val="0"/>
                  <w:divBdr>
                    <w:top w:val="none" w:sz="0" w:space="0" w:color="auto"/>
                    <w:left w:val="none" w:sz="0" w:space="0" w:color="auto"/>
                    <w:bottom w:val="none" w:sz="0" w:space="0" w:color="auto"/>
                    <w:right w:val="none" w:sz="0" w:space="0" w:color="auto"/>
                  </w:divBdr>
                </w:div>
              </w:divsChild>
            </w:div>
            <w:div w:id="329138028">
              <w:marLeft w:val="0"/>
              <w:marRight w:val="0"/>
              <w:marTop w:val="0"/>
              <w:marBottom w:val="0"/>
              <w:divBdr>
                <w:top w:val="none" w:sz="0" w:space="0" w:color="auto"/>
                <w:left w:val="none" w:sz="0" w:space="0" w:color="auto"/>
                <w:bottom w:val="none" w:sz="0" w:space="0" w:color="auto"/>
                <w:right w:val="none" w:sz="0" w:space="0" w:color="auto"/>
              </w:divBdr>
              <w:divsChild>
                <w:div w:id="1788424689">
                  <w:marLeft w:val="0"/>
                  <w:marRight w:val="0"/>
                  <w:marTop w:val="0"/>
                  <w:marBottom w:val="0"/>
                  <w:divBdr>
                    <w:top w:val="none" w:sz="0" w:space="0" w:color="auto"/>
                    <w:left w:val="none" w:sz="0" w:space="0" w:color="auto"/>
                    <w:bottom w:val="none" w:sz="0" w:space="0" w:color="auto"/>
                    <w:right w:val="none" w:sz="0" w:space="0" w:color="auto"/>
                  </w:divBdr>
                </w:div>
              </w:divsChild>
            </w:div>
            <w:div w:id="631784767">
              <w:marLeft w:val="0"/>
              <w:marRight w:val="0"/>
              <w:marTop w:val="0"/>
              <w:marBottom w:val="0"/>
              <w:divBdr>
                <w:top w:val="none" w:sz="0" w:space="0" w:color="auto"/>
                <w:left w:val="none" w:sz="0" w:space="0" w:color="auto"/>
                <w:bottom w:val="none" w:sz="0" w:space="0" w:color="auto"/>
                <w:right w:val="none" w:sz="0" w:space="0" w:color="auto"/>
              </w:divBdr>
              <w:divsChild>
                <w:div w:id="935409846">
                  <w:marLeft w:val="0"/>
                  <w:marRight w:val="0"/>
                  <w:marTop w:val="0"/>
                  <w:marBottom w:val="0"/>
                  <w:divBdr>
                    <w:top w:val="none" w:sz="0" w:space="0" w:color="auto"/>
                    <w:left w:val="none" w:sz="0" w:space="0" w:color="auto"/>
                    <w:bottom w:val="none" w:sz="0" w:space="0" w:color="auto"/>
                    <w:right w:val="none" w:sz="0" w:space="0" w:color="auto"/>
                  </w:divBdr>
                </w:div>
              </w:divsChild>
            </w:div>
            <w:div w:id="848908438">
              <w:marLeft w:val="0"/>
              <w:marRight w:val="0"/>
              <w:marTop w:val="0"/>
              <w:marBottom w:val="0"/>
              <w:divBdr>
                <w:top w:val="none" w:sz="0" w:space="0" w:color="auto"/>
                <w:left w:val="none" w:sz="0" w:space="0" w:color="auto"/>
                <w:bottom w:val="none" w:sz="0" w:space="0" w:color="auto"/>
                <w:right w:val="none" w:sz="0" w:space="0" w:color="auto"/>
              </w:divBdr>
              <w:divsChild>
                <w:div w:id="589854042">
                  <w:marLeft w:val="0"/>
                  <w:marRight w:val="0"/>
                  <w:marTop w:val="0"/>
                  <w:marBottom w:val="0"/>
                  <w:divBdr>
                    <w:top w:val="none" w:sz="0" w:space="0" w:color="auto"/>
                    <w:left w:val="none" w:sz="0" w:space="0" w:color="auto"/>
                    <w:bottom w:val="none" w:sz="0" w:space="0" w:color="auto"/>
                    <w:right w:val="none" w:sz="0" w:space="0" w:color="auto"/>
                  </w:divBdr>
                </w:div>
              </w:divsChild>
            </w:div>
            <w:div w:id="2058580829">
              <w:marLeft w:val="0"/>
              <w:marRight w:val="0"/>
              <w:marTop w:val="0"/>
              <w:marBottom w:val="0"/>
              <w:divBdr>
                <w:top w:val="none" w:sz="0" w:space="0" w:color="auto"/>
                <w:left w:val="none" w:sz="0" w:space="0" w:color="auto"/>
                <w:bottom w:val="none" w:sz="0" w:space="0" w:color="auto"/>
                <w:right w:val="none" w:sz="0" w:space="0" w:color="auto"/>
              </w:divBdr>
              <w:divsChild>
                <w:div w:id="551694776">
                  <w:marLeft w:val="0"/>
                  <w:marRight w:val="0"/>
                  <w:marTop w:val="0"/>
                  <w:marBottom w:val="0"/>
                  <w:divBdr>
                    <w:top w:val="none" w:sz="0" w:space="0" w:color="auto"/>
                    <w:left w:val="none" w:sz="0" w:space="0" w:color="auto"/>
                    <w:bottom w:val="none" w:sz="0" w:space="0" w:color="auto"/>
                    <w:right w:val="none" w:sz="0" w:space="0" w:color="auto"/>
                  </w:divBdr>
                </w:div>
              </w:divsChild>
            </w:div>
            <w:div w:id="589504637">
              <w:marLeft w:val="0"/>
              <w:marRight w:val="0"/>
              <w:marTop w:val="0"/>
              <w:marBottom w:val="0"/>
              <w:divBdr>
                <w:top w:val="none" w:sz="0" w:space="0" w:color="auto"/>
                <w:left w:val="none" w:sz="0" w:space="0" w:color="auto"/>
                <w:bottom w:val="none" w:sz="0" w:space="0" w:color="auto"/>
                <w:right w:val="none" w:sz="0" w:space="0" w:color="auto"/>
              </w:divBdr>
              <w:divsChild>
                <w:div w:id="1842886984">
                  <w:marLeft w:val="0"/>
                  <w:marRight w:val="0"/>
                  <w:marTop w:val="0"/>
                  <w:marBottom w:val="0"/>
                  <w:divBdr>
                    <w:top w:val="none" w:sz="0" w:space="0" w:color="auto"/>
                    <w:left w:val="none" w:sz="0" w:space="0" w:color="auto"/>
                    <w:bottom w:val="none" w:sz="0" w:space="0" w:color="auto"/>
                    <w:right w:val="none" w:sz="0" w:space="0" w:color="auto"/>
                  </w:divBdr>
                </w:div>
              </w:divsChild>
            </w:div>
            <w:div w:id="300959638">
              <w:marLeft w:val="0"/>
              <w:marRight w:val="0"/>
              <w:marTop w:val="0"/>
              <w:marBottom w:val="0"/>
              <w:divBdr>
                <w:top w:val="none" w:sz="0" w:space="0" w:color="auto"/>
                <w:left w:val="none" w:sz="0" w:space="0" w:color="auto"/>
                <w:bottom w:val="none" w:sz="0" w:space="0" w:color="auto"/>
                <w:right w:val="none" w:sz="0" w:space="0" w:color="auto"/>
              </w:divBdr>
              <w:divsChild>
                <w:div w:id="2006786641">
                  <w:marLeft w:val="0"/>
                  <w:marRight w:val="0"/>
                  <w:marTop w:val="0"/>
                  <w:marBottom w:val="0"/>
                  <w:divBdr>
                    <w:top w:val="none" w:sz="0" w:space="0" w:color="auto"/>
                    <w:left w:val="none" w:sz="0" w:space="0" w:color="auto"/>
                    <w:bottom w:val="none" w:sz="0" w:space="0" w:color="auto"/>
                    <w:right w:val="none" w:sz="0" w:space="0" w:color="auto"/>
                  </w:divBdr>
                </w:div>
              </w:divsChild>
            </w:div>
            <w:div w:id="1853647809">
              <w:marLeft w:val="0"/>
              <w:marRight w:val="0"/>
              <w:marTop w:val="0"/>
              <w:marBottom w:val="0"/>
              <w:divBdr>
                <w:top w:val="none" w:sz="0" w:space="0" w:color="auto"/>
                <w:left w:val="none" w:sz="0" w:space="0" w:color="auto"/>
                <w:bottom w:val="none" w:sz="0" w:space="0" w:color="auto"/>
                <w:right w:val="none" w:sz="0" w:space="0" w:color="auto"/>
              </w:divBdr>
              <w:divsChild>
                <w:div w:id="1975796093">
                  <w:marLeft w:val="0"/>
                  <w:marRight w:val="0"/>
                  <w:marTop w:val="0"/>
                  <w:marBottom w:val="0"/>
                  <w:divBdr>
                    <w:top w:val="none" w:sz="0" w:space="0" w:color="auto"/>
                    <w:left w:val="none" w:sz="0" w:space="0" w:color="auto"/>
                    <w:bottom w:val="none" w:sz="0" w:space="0" w:color="auto"/>
                    <w:right w:val="none" w:sz="0" w:space="0" w:color="auto"/>
                  </w:divBdr>
                </w:div>
              </w:divsChild>
            </w:div>
            <w:div w:id="106974415">
              <w:marLeft w:val="0"/>
              <w:marRight w:val="0"/>
              <w:marTop w:val="0"/>
              <w:marBottom w:val="0"/>
              <w:divBdr>
                <w:top w:val="none" w:sz="0" w:space="0" w:color="auto"/>
                <w:left w:val="none" w:sz="0" w:space="0" w:color="auto"/>
                <w:bottom w:val="none" w:sz="0" w:space="0" w:color="auto"/>
                <w:right w:val="none" w:sz="0" w:space="0" w:color="auto"/>
              </w:divBdr>
              <w:divsChild>
                <w:div w:id="1647735242">
                  <w:marLeft w:val="0"/>
                  <w:marRight w:val="0"/>
                  <w:marTop w:val="0"/>
                  <w:marBottom w:val="0"/>
                  <w:divBdr>
                    <w:top w:val="none" w:sz="0" w:space="0" w:color="auto"/>
                    <w:left w:val="none" w:sz="0" w:space="0" w:color="auto"/>
                    <w:bottom w:val="none" w:sz="0" w:space="0" w:color="auto"/>
                    <w:right w:val="none" w:sz="0" w:space="0" w:color="auto"/>
                  </w:divBdr>
                </w:div>
              </w:divsChild>
            </w:div>
            <w:div w:id="487793954">
              <w:marLeft w:val="0"/>
              <w:marRight w:val="0"/>
              <w:marTop w:val="0"/>
              <w:marBottom w:val="0"/>
              <w:divBdr>
                <w:top w:val="none" w:sz="0" w:space="0" w:color="auto"/>
                <w:left w:val="none" w:sz="0" w:space="0" w:color="auto"/>
                <w:bottom w:val="none" w:sz="0" w:space="0" w:color="auto"/>
                <w:right w:val="none" w:sz="0" w:space="0" w:color="auto"/>
              </w:divBdr>
              <w:divsChild>
                <w:div w:id="868564306">
                  <w:marLeft w:val="0"/>
                  <w:marRight w:val="0"/>
                  <w:marTop w:val="0"/>
                  <w:marBottom w:val="0"/>
                  <w:divBdr>
                    <w:top w:val="none" w:sz="0" w:space="0" w:color="auto"/>
                    <w:left w:val="none" w:sz="0" w:space="0" w:color="auto"/>
                    <w:bottom w:val="none" w:sz="0" w:space="0" w:color="auto"/>
                    <w:right w:val="none" w:sz="0" w:space="0" w:color="auto"/>
                  </w:divBdr>
                </w:div>
              </w:divsChild>
            </w:div>
            <w:div w:id="1258446139">
              <w:marLeft w:val="0"/>
              <w:marRight w:val="0"/>
              <w:marTop w:val="0"/>
              <w:marBottom w:val="0"/>
              <w:divBdr>
                <w:top w:val="none" w:sz="0" w:space="0" w:color="auto"/>
                <w:left w:val="none" w:sz="0" w:space="0" w:color="auto"/>
                <w:bottom w:val="none" w:sz="0" w:space="0" w:color="auto"/>
                <w:right w:val="none" w:sz="0" w:space="0" w:color="auto"/>
              </w:divBdr>
              <w:divsChild>
                <w:div w:id="480970921">
                  <w:marLeft w:val="0"/>
                  <w:marRight w:val="0"/>
                  <w:marTop w:val="0"/>
                  <w:marBottom w:val="0"/>
                  <w:divBdr>
                    <w:top w:val="none" w:sz="0" w:space="0" w:color="auto"/>
                    <w:left w:val="none" w:sz="0" w:space="0" w:color="auto"/>
                    <w:bottom w:val="none" w:sz="0" w:space="0" w:color="auto"/>
                    <w:right w:val="none" w:sz="0" w:space="0" w:color="auto"/>
                  </w:divBdr>
                </w:div>
              </w:divsChild>
            </w:div>
            <w:div w:id="391316510">
              <w:marLeft w:val="0"/>
              <w:marRight w:val="0"/>
              <w:marTop w:val="0"/>
              <w:marBottom w:val="0"/>
              <w:divBdr>
                <w:top w:val="none" w:sz="0" w:space="0" w:color="auto"/>
                <w:left w:val="none" w:sz="0" w:space="0" w:color="auto"/>
                <w:bottom w:val="none" w:sz="0" w:space="0" w:color="auto"/>
                <w:right w:val="none" w:sz="0" w:space="0" w:color="auto"/>
              </w:divBdr>
              <w:divsChild>
                <w:div w:id="838540998">
                  <w:marLeft w:val="0"/>
                  <w:marRight w:val="0"/>
                  <w:marTop w:val="0"/>
                  <w:marBottom w:val="0"/>
                  <w:divBdr>
                    <w:top w:val="none" w:sz="0" w:space="0" w:color="auto"/>
                    <w:left w:val="none" w:sz="0" w:space="0" w:color="auto"/>
                    <w:bottom w:val="none" w:sz="0" w:space="0" w:color="auto"/>
                    <w:right w:val="none" w:sz="0" w:space="0" w:color="auto"/>
                  </w:divBdr>
                </w:div>
              </w:divsChild>
            </w:div>
            <w:div w:id="1566573048">
              <w:marLeft w:val="0"/>
              <w:marRight w:val="0"/>
              <w:marTop w:val="0"/>
              <w:marBottom w:val="0"/>
              <w:divBdr>
                <w:top w:val="none" w:sz="0" w:space="0" w:color="auto"/>
                <w:left w:val="none" w:sz="0" w:space="0" w:color="auto"/>
                <w:bottom w:val="none" w:sz="0" w:space="0" w:color="auto"/>
                <w:right w:val="none" w:sz="0" w:space="0" w:color="auto"/>
              </w:divBdr>
              <w:divsChild>
                <w:div w:id="2098357407">
                  <w:marLeft w:val="0"/>
                  <w:marRight w:val="0"/>
                  <w:marTop w:val="0"/>
                  <w:marBottom w:val="0"/>
                  <w:divBdr>
                    <w:top w:val="none" w:sz="0" w:space="0" w:color="auto"/>
                    <w:left w:val="none" w:sz="0" w:space="0" w:color="auto"/>
                    <w:bottom w:val="none" w:sz="0" w:space="0" w:color="auto"/>
                    <w:right w:val="none" w:sz="0" w:space="0" w:color="auto"/>
                  </w:divBdr>
                </w:div>
              </w:divsChild>
            </w:div>
            <w:div w:id="1136988301">
              <w:marLeft w:val="0"/>
              <w:marRight w:val="0"/>
              <w:marTop w:val="0"/>
              <w:marBottom w:val="0"/>
              <w:divBdr>
                <w:top w:val="none" w:sz="0" w:space="0" w:color="auto"/>
                <w:left w:val="none" w:sz="0" w:space="0" w:color="auto"/>
                <w:bottom w:val="none" w:sz="0" w:space="0" w:color="auto"/>
                <w:right w:val="none" w:sz="0" w:space="0" w:color="auto"/>
              </w:divBdr>
              <w:divsChild>
                <w:div w:id="533154366">
                  <w:marLeft w:val="0"/>
                  <w:marRight w:val="0"/>
                  <w:marTop w:val="0"/>
                  <w:marBottom w:val="0"/>
                  <w:divBdr>
                    <w:top w:val="none" w:sz="0" w:space="0" w:color="auto"/>
                    <w:left w:val="none" w:sz="0" w:space="0" w:color="auto"/>
                    <w:bottom w:val="none" w:sz="0" w:space="0" w:color="auto"/>
                    <w:right w:val="none" w:sz="0" w:space="0" w:color="auto"/>
                  </w:divBdr>
                </w:div>
              </w:divsChild>
            </w:div>
            <w:div w:id="1692536995">
              <w:marLeft w:val="0"/>
              <w:marRight w:val="0"/>
              <w:marTop w:val="0"/>
              <w:marBottom w:val="0"/>
              <w:divBdr>
                <w:top w:val="none" w:sz="0" w:space="0" w:color="auto"/>
                <w:left w:val="none" w:sz="0" w:space="0" w:color="auto"/>
                <w:bottom w:val="none" w:sz="0" w:space="0" w:color="auto"/>
                <w:right w:val="none" w:sz="0" w:space="0" w:color="auto"/>
              </w:divBdr>
              <w:divsChild>
                <w:div w:id="2022273872">
                  <w:marLeft w:val="0"/>
                  <w:marRight w:val="0"/>
                  <w:marTop w:val="0"/>
                  <w:marBottom w:val="0"/>
                  <w:divBdr>
                    <w:top w:val="none" w:sz="0" w:space="0" w:color="auto"/>
                    <w:left w:val="none" w:sz="0" w:space="0" w:color="auto"/>
                    <w:bottom w:val="none" w:sz="0" w:space="0" w:color="auto"/>
                    <w:right w:val="none" w:sz="0" w:space="0" w:color="auto"/>
                  </w:divBdr>
                </w:div>
              </w:divsChild>
            </w:div>
            <w:div w:id="2096125810">
              <w:marLeft w:val="0"/>
              <w:marRight w:val="0"/>
              <w:marTop w:val="0"/>
              <w:marBottom w:val="0"/>
              <w:divBdr>
                <w:top w:val="none" w:sz="0" w:space="0" w:color="auto"/>
                <w:left w:val="none" w:sz="0" w:space="0" w:color="auto"/>
                <w:bottom w:val="none" w:sz="0" w:space="0" w:color="auto"/>
                <w:right w:val="none" w:sz="0" w:space="0" w:color="auto"/>
              </w:divBdr>
              <w:divsChild>
                <w:div w:id="1179582807">
                  <w:marLeft w:val="0"/>
                  <w:marRight w:val="0"/>
                  <w:marTop w:val="0"/>
                  <w:marBottom w:val="0"/>
                  <w:divBdr>
                    <w:top w:val="none" w:sz="0" w:space="0" w:color="auto"/>
                    <w:left w:val="none" w:sz="0" w:space="0" w:color="auto"/>
                    <w:bottom w:val="none" w:sz="0" w:space="0" w:color="auto"/>
                    <w:right w:val="none" w:sz="0" w:space="0" w:color="auto"/>
                  </w:divBdr>
                </w:div>
              </w:divsChild>
            </w:div>
            <w:div w:id="1753820341">
              <w:marLeft w:val="0"/>
              <w:marRight w:val="0"/>
              <w:marTop w:val="0"/>
              <w:marBottom w:val="0"/>
              <w:divBdr>
                <w:top w:val="none" w:sz="0" w:space="0" w:color="auto"/>
                <w:left w:val="none" w:sz="0" w:space="0" w:color="auto"/>
                <w:bottom w:val="none" w:sz="0" w:space="0" w:color="auto"/>
                <w:right w:val="none" w:sz="0" w:space="0" w:color="auto"/>
              </w:divBdr>
              <w:divsChild>
                <w:div w:id="1373117691">
                  <w:marLeft w:val="0"/>
                  <w:marRight w:val="0"/>
                  <w:marTop w:val="0"/>
                  <w:marBottom w:val="0"/>
                  <w:divBdr>
                    <w:top w:val="none" w:sz="0" w:space="0" w:color="auto"/>
                    <w:left w:val="none" w:sz="0" w:space="0" w:color="auto"/>
                    <w:bottom w:val="none" w:sz="0" w:space="0" w:color="auto"/>
                    <w:right w:val="none" w:sz="0" w:space="0" w:color="auto"/>
                  </w:divBdr>
                </w:div>
              </w:divsChild>
            </w:div>
            <w:div w:id="1422725310">
              <w:marLeft w:val="0"/>
              <w:marRight w:val="0"/>
              <w:marTop w:val="0"/>
              <w:marBottom w:val="0"/>
              <w:divBdr>
                <w:top w:val="none" w:sz="0" w:space="0" w:color="auto"/>
                <w:left w:val="none" w:sz="0" w:space="0" w:color="auto"/>
                <w:bottom w:val="none" w:sz="0" w:space="0" w:color="auto"/>
                <w:right w:val="none" w:sz="0" w:space="0" w:color="auto"/>
              </w:divBdr>
              <w:divsChild>
                <w:div w:id="647709723">
                  <w:marLeft w:val="0"/>
                  <w:marRight w:val="0"/>
                  <w:marTop w:val="0"/>
                  <w:marBottom w:val="0"/>
                  <w:divBdr>
                    <w:top w:val="none" w:sz="0" w:space="0" w:color="auto"/>
                    <w:left w:val="none" w:sz="0" w:space="0" w:color="auto"/>
                    <w:bottom w:val="none" w:sz="0" w:space="0" w:color="auto"/>
                    <w:right w:val="none" w:sz="0" w:space="0" w:color="auto"/>
                  </w:divBdr>
                </w:div>
              </w:divsChild>
            </w:div>
            <w:div w:id="152334368">
              <w:marLeft w:val="0"/>
              <w:marRight w:val="0"/>
              <w:marTop w:val="0"/>
              <w:marBottom w:val="0"/>
              <w:divBdr>
                <w:top w:val="none" w:sz="0" w:space="0" w:color="auto"/>
                <w:left w:val="none" w:sz="0" w:space="0" w:color="auto"/>
                <w:bottom w:val="none" w:sz="0" w:space="0" w:color="auto"/>
                <w:right w:val="none" w:sz="0" w:space="0" w:color="auto"/>
              </w:divBdr>
              <w:divsChild>
                <w:div w:id="1554923101">
                  <w:marLeft w:val="0"/>
                  <w:marRight w:val="0"/>
                  <w:marTop w:val="0"/>
                  <w:marBottom w:val="0"/>
                  <w:divBdr>
                    <w:top w:val="none" w:sz="0" w:space="0" w:color="auto"/>
                    <w:left w:val="none" w:sz="0" w:space="0" w:color="auto"/>
                    <w:bottom w:val="none" w:sz="0" w:space="0" w:color="auto"/>
                    <w:right w:val="none" w:sz="0" w:space="0" w:color="auto"/>
                  </w:divBdr>
                </w:div>
              </w:divsChild>
            </w:div>
            <w:div w:id="649944503">
              <w:marLeft w:val="0"/>
              <w:marRight w:val="0"/>
              <w:marTop w:val="0"/>
              <w:marBottom w:val="0"/>
              <w:divBdr>
                <w:top w:val="none" w:sz="0" w:space="0" w:color="auto"/>
                <w:left w:val="none" w:sz="0" w:space="0" w:color="auto"/>
                <w:bottom w:val="none" w:sz="0" w:space="0" w:color="auto"/>
                <w:right w:val="none" w:sz="0" w:space="0" w:color="auto"/>
              </w:divBdr>
              <w:divsChild>
                <w:div w:id="337540786">
                  <w:marLeft w:val="0"/>
                  <w:marRight w:val="0"/>
                  <w:marTop w:val="0"/>
                  <w:marBottom w:val="0"/>
                  <w:divBdr>
                    <w:top w:val="none" w:sz="0" w:space="0" w:color="auto"/>
                    <w:left w:val="none" w:sz="0" w:space="0" w:color="auto"/>
                    <w:bottom w:val="none" w:sz="0" w:space="0" w:color="auto"/>
                    <w:right w:val="none" w:sz="0" w:space="0" w:color="auto"/>
                  </w:divBdr>
                </w:div>
              </w:divsChild>
            </w:div>
            <w:div w:id="1676494870">
              <w:marLeft w:val="0"/>
              <w:marRight w:val="0"/>
              <w:marTop w:val="0"/>
              <w:marBottom w:val="0"/>
              <w:divBdr>
                <w:top w:val="none" w:sz="0" w:space="0" w:color="auto"/>
                <w:left w:val="none" w:sz="0" w:space="0" w:color="auto"/>
                <w:bottom w:val="none" w:sz="0" w:space="0" w:color="auto"/>
                <w:right w:val="none" w:sz="0" w:space="0" w:color="auto"/>
              </w:divBdr>
              <w:divsChild>
                <w:div w:id="1349673013">
                  <w:marLeft w:val="0"/>
                  <w:marRight w:val="0"/>
                  <w:marTop w:val="0"/>
                  <w:marBottom w:val="0"/>
                  <w:divBdr>
                    <w:top w:val="none" w:sz="0" w:space="0" w:color="auto"/>
                    <w:left w:val="none" w:sz="0" w:space="0" w:color="auto"/>
                    <w:bottom w:val="none" w:sz="0" w:space="0" w:color="auto"/>
                    <w:right w:val="none" w:sz="0" w:space="0" w:color="auto"/>
                  </w:divBdr>
                </w:div>
              </w:divsChild>
            </w:div>
            <w:div w:id="361326220">
              <w:marLeft w:val="0"/>
              <w:marRight w:val="0"/>
              <w:marTop w:val="0"/>
              <w:marBottom w:val="0"/>
              <w:divBdr>
                <w:top w:val="none" w:sz="0" w:space="0" w:color="auto"/>
                <w:left w:val="none" w:sz="0" w:space="0" w:color="auto"/>
                <w:bottom w:val="none" w:sz="0" w:space="0" w:color="auto"/>
                <w:right w:val="none" w:sz="0" w:space="0" w:color="auto"/>
              </w:divBdr>
              <w:divsChild>
                <w:div w:id="253057418">
                  <w:marLeft w:val="0"/>
                  <w:marRight w:val="0"/>
                  <w:marTop w:val="0"/>
                  <w:marBottom w:val="0"/>
                  <w:divBdr>
                    <w:top w:val="none" w:sz="0" w:space="0" w:color="auto"/>
                    <w:left w:val="none" w:sz="0" w:space="0" w:color="auto"/>
                    <w:bottom w:val="none" w:sz="0" w:space="0" w:color="auto"/>
                    <w:right w:val="none" w:sz="0" w:space="0" w:color="auto"/>
                  </w:divBdr>
                </w:div>
              </w:divsChild>
            </w:div>
            <w:div w:id="1720547394">
              <w:marLeft w:val="0"/>
              <w:marRight w:val="0"/>
              <w:marTop w:val="0"/>
              <w:marBottom w:val="0"/>
              <w:divBdr>
                <w:top w:val="none" w:sz="0" w:space="0" w:color="auto"/>
                <w:left w:val="none" w:sz="0" w:space="0" w:color="auto"/>
                <w:bottom w:val="none" w:sz="0" w:space="0" w:color="auto"/>
                <w:right w:val="none" w:sz="0" w:space="0" w:color="auto"/>
              </w:divBdr>
              <w:divsChild>
                <w:div w:id="782073781">
                  <w:marLeft w:val="0"/>
                  <w:marRight w:val="0"/>
                  <w:marTop w:val="0"/>
                  <w:marBottom w:val="0"/>
                  <w:divBdr>
                    <w:top w:val="none" w:sz="0" w:space="0" w:color="auto"/>
                    <w:left w:val="none" w:sz="0" w:space="0" w:color="auto"/>
                    <w:bottom w:val="none" w:sz="0" w:space="0" w:color="auto"/>
                    <w:right w:val="none" w:sz="0" w:space="0" w:color="auto"/>
                  </w:divBdr>
                </w:div>
              </w:divsChild>
            </w:div>
            <w:div w:id="1709379653">
              <w:marLeft w:val="0"/>
              <w:marRight w:val="0"/>
              <w:marTop w:val="0"/>
              <w:marBottom w:val="0"/>
              <w:divBdr>
                <w:top w:val="none" w:sz="0" w:space="0" w:color="auto"/>
                <w:left w:val="none" w:sz="0" w:space="0" w:color="auto"/>
                <w:bottom w:val="none" w:sz="0" w:space="0" w:color="auto"/>
                <w:right w:val="none" w:sz="0" w:space="0" w:color="auto"/>
              </w:divBdr>
              <w:divsChild>
                <w:div w:id="653683705">
                  <w:marLeft w:val="0"/>
                  <w:marRight w:val="0"/>
                  <w:marTop w:val="0"/>
                  <w:marBottom w:val="0"/>
                  <w:divBdr>
                    <w:top w:val="none" w:sz="0" w:space="0" w:color="auto"/>
                    <w:left w:val="none" w:sz="0" w:space="0" w:color="auto"/>
                    <w:bottom w:val="none" w:sz="0" w:space="0" w:color="auto"/>
                    <w:right w:val="none" w:sz="0" w:space="0" w:color="auto"/>
                  </w:divBdr>
                </w:div>
              </w:divsChild>
            </w:div>
            <w:div w:id="240212682">
              <w:marLeft w:val="0"/>
              <w:marRight w:val="0"/>
              <w:marTop w:val="0"/>
              <w:marBottom w:val="0"/>
              <w:divBdr>
                <w:top w:val="none" w:sz="0" w:space="0" w:color="auto"/>
                <w:left w:val="none" w:sz="0" w:space="0" w:color="auto"/>
                <w:bottom w:val="none" w:sz="0" w:space="0" w:color="auto"/>
                <w:right w:val="none" w:sz="0" w:space="0" w:color="auto"/>
              </w:divBdr>
              <w:divsChild>
                <w:div w:id="1024869524">
                  <w:marLeft w:val="0"/>
                  <w:marRight w:val="0"/>
                  <w:marTop w:val="0"/>
                  <w:marBottom w:val="0"/>
                  <w:divBdr>
                    <w:top w:val="none" w:sz="0" w:space="0" w:color="auto"/>
                    <w:left w:val="none" w:sz="0" w:space="0" w:color="auto"/>
                    <w:bottom w:val="none" w:sz="0" w:space="0" w:color="auto"/>
                    <w:right w:val="none" w:sz="0" w:space="0" w:color="auto"/>
                  </w:divBdr>
                </w:div>
              </w:divsChild>
            </w:div>
            <w:div w:id="836581346">
              <w:marLeft w:val="0"/>
              <w:marRight w:val="0"/>
              <w:marTop w:val="0"/>
              <w:marBottom w:val="0"/>
              <w:divBdr>
                <w:top w:val="none" w:sz="0" w:space="0" w:color="auto"/>
                <w:left w:val="none" w:sz="0" w:space="0" w:color="auto"/>
                <w:bottom w:val="none" w:sz="0" w:space="0" w:color="auto"/>
                <w:right w:val="none" w:sz="0" w:space="0" w:color="auto"/>
              </w:divBdr>
              <w:divsChild>
                <w:div w:id="145055078">
                  <w:marLeft w:val="0"/>
                  <w:marRight w:val="0"/>
                  <w:marTop w:val="0"/>
                  <w:marBottom w:val="0"/>
                  <w:divBdr>
                    <w:top w:val="none" w:sz="0" w:space="0" w:color="auto"/>
                    <w:left w:val="none" w:sz="0" w:space="0" w:color="auto"/>
                    <w:bottom w:val="none" w:sz="0" w:space="0" w:color="auto"/>
                    <w:right w:val="none" w:sz="0" w:space="0" w:color="auto"/>
                  </w:divBdr>
                </w:div>
              </w:divsChild>
            </w:div>
            <w:div w:id="1679654472">
              <w:marLeft w:val="0"/>
              <w:marRight w:val="0"/>
              <w:marTop w:val="0"/>
              <w:marBottom w:val="0"/>
              <w:divBdr>
                <w:top w:val="none" w:sz="0" w:space="0" w:color="auto"/>
                <w:left w:val="none" w:sz="0" w:space="0" w:color="auto"/>
                <w:bottom w:val="none" w:sz="0" w:space="0" w:color="auto"/>
                <w:right w:val="none" w:sz="0" w:space="0" w:color="auto"/>
              </w:divBdr>
              <w:divsChild>
                <w:div w:id="1624579670">
                  <w:marLeft w:val="0"/>
                  <w:marRight w:val="0"/>
                  <w:marTop w:val="0"/>
                  <w:marBottom w:val="0"/>
                  <w:divBdr>
                    <w:top w:val="none" w:sz="0" w:space="0" w:color="auto"/>
                    <w:left w:val="none" w:sz="0" w:space="0" w:color="auto"/>
                    <w:bottom w:val="none" w:sz="0" w:space="0" w:color="auto"/>
                    <w:right w:val="none" w:sz="0" w:space="0" w:color="auto"/>
                  </w:divBdr>
                </w:div>
              </w:divsChild>
            </w:div>
            <w:div w:id="5137233">
              <w:marLeft w:val="0"/>
              <w:marRight w:val="0"/>
              <w:marTop w:val="0"/>
              <w:marBottom w:val="0"/>
              <w:divBdr>
                <w:top w:val="none" w:sz="0" w:space="0" w:color="auto"/>
                <w:left w:val="none" w:sz="0" w:space="0" w:color="auto"/>
                <w:bottom w:val="none" w:sz="0" w:space="0" w:color="auto"/>
                <w:right w:val="none" w:sz="0" w:space="0" w:color="auto"/>
              </w:divBdr>
              <w:divsChild>
                <w:div w:id="997028532">
                  <w:marLeft w:val="0"/>
                  <w:marRight w:val="0"/>
                  <w:marTop w:val="0"/>
                  <w:marBottom w:val="0"/>
                  <w:divBdr>
                    <w:top w:val="none" w:sz="0" w:space="0" w:color="auto"/>
                    <w:left w:val="none" w:sz="0" w:space="0" w:color="auto"/>
                    <w:bottom w:val="none" w:sz="0" w:space="0" w:color="auto"/>
                    <w:right w:val="none" w:sz="0" w:space="0" w:color="auto"/>
                  </w:divBdr>
                </w:div>
              </w:divsChild>
            </w:div>
            <w:div w:id="939214987">
              <w:marLeft w:val="0"/>
              <w:marRight w:val="0"/>
              <w:marTop w:val="0"/>
              <w:marBottom w:val="0"/>
              <w:divBdr>
                <w:top w:val="none" w:sz="0" w:space="0" w:color="auto"/>
                <w:left w:val="none" w:sz="0" w:space="0" w:color="auto"/>
                <w:bottom w:val="none" w:sz="0" w:space="0" w:color="auto"/>
                <w:right w:val="none" w:sz="0" w:space="0" w:color="auto"/>
              </w:divBdr>
              <w:divsChild>
                <w:div w:id="1130198676">
                  <w:marLeft w:val="0"/>
                  <w:marRight w:val="0"/>
                  <w:marTop w:val="0"/>
                  <w:marBottom w:val="0"/>
                  <w:divBdr>
                    <w:top w:val="none" w:sz="0" w:space="0" w:color="auto"/>
                    <w:left w:val="none" w:sz="0" w:space="0" w:color="auto"/>
                    <w:bottom w:val="none" w:sz="0" w:space="0" w:color="auto"/>
                    <w:right w:val="none" w:sz="0" w:space="0" w:color="auto"/>
                  </w:divBdr>
                </w:div>
              </w:divsChild>
            </w:div>
            <w:div w:id="1529369470">
              <w:marLeft w:val="0"/>
              <w:marRight w:val="0"/>
              <w:marTop w:val="0"/>
              <w:marBottom w:val="0"/>
              <w:divBdr>
                <w:top w:val="none" w:sz="0" w:space="0" w:color="auto"/>
                <w:left w:val="none" w:sz="0" w:space="0" w:color="auto"/>
                <w:bottom w:val="none" w:sz="0" w:space="0" w:color="auto"/>
                <w:right w:val="none" w:sz="0" w:space="0" w:color="auto"/>
              </w:divBdr>
              <w:divsChild>
                <w:div w:id="398750690">
                  <w:marLeft w:val="0"/>
                  <w:marRight w:val="0"/>
                  <w:marTop w:val="0"/>
                  <w:marBottom w:val="0"/>
                  <w:divBdr>
                    <w:top w:val="none" w:sz="0" w:space="0" w:color="auto"/>
                    <w:left w:val="none" w:sz="0" w:space="0" w:color="auto"/>
                    <w:bottom w:val="none" w:sz="0" w:space="0" w:color="auto"/>
                    <w:right w:val="none" w:sz="0" w:space="0" w:color="auto"/>
                  </w:divBdr>
                </w:div>
              </w:divsChild>
            </w:div>
            <w:div w:id="305357293">
              <w:marLeft w:val="0"/>
              <w:marRight w:val="0"/>
              <w:marTop w:val="0"/>
              <w:marBottom w:val="0"/>
              <w:divBdr>
                <w:top w:val="none" w:sz="0" w:space="0" w:color="auto"/>
                <w:left w:val="none" w:sz="0" w:space="0" w:color="auto"/>
                <w:bottom w:val="none" w:sz="0" w:space="0" w:color="auto"/>
                <w:right w:val="none" w:sz="0" w:space="0" w:color="auto"/>
              </w:divBdr>
              <w:divsChild>
                <w:div w:id="441194078">
                  <w:marLeft w:val="0"/>
                  <w:marRight w:val="0"/>
                  <w:marTop w:val="0"/>
                  <w:marBottom w:val="0"/>
                  <w:divBdr>
                    <w:top w:val="none" w:sz="0" w:space="0" w:color="auto"/>
                    <w:left w:val="none" w:sz="0" w:space="0" w:color="auto"/>
                    <w:bottom w:val="none" w:sz="0" w:space="0" w:color="auto"/>
                    <w:right w:val="none" w:sz="0" w:space="0" w:color="auto"/>
                  </w:divBdr>
                </w:div>
              </w:divsChild>
            </w:div>
            <w:div w:id="1343388983">
              <w:marLeft w:val="0"/>
              <w:marRight w:val="0"/>
              <w:marTop w:val="0"/>
              <w:marBottom w:val="0"/>
              <w:divBdr>
                <w:top w:val="none" w:sz="0" w:space="0" w:color="auto"/>
                <w:left w:val="none" w:sz="0" w:space="0" w:color="auto"/>
                <w:bottom w:val="none" w:sz="0" w:space="0" w:color="auto"/>
                <w:right w:val="none" w:sz="0" w:space="0" w:color="auto"/>
              </w:divBdr>
              <w:divsChild>
                <w:div w:id="1984582984">
                  <w:marLeft w:val="0"/>
                  <w:marRight w:val="0"/>
                  <w:marTop w:val="0"/>
                  <w:marBottom w:val="0"/>
                  <w:divBdr>
                    <w:top w:val="none" w:sz="0" w:space="0" w:color="auto"/>
                    <w:left w:val="none" w:sz="0" w:space="0" w:color="auto"/>
                    <w:bottom w:val="none" w:sz="0" w:space="0" w:color="auto"/>
                    <w:right w:val="none" w:sz="0" w:space="0" w:color="auto"/>
                  </w:divBdr>
                </w:div>
              </w:divsChild>
            </w:div>
            <w:div w:id="101732462">
              <w:marLeft w:val="0"/>
              <w:marRight w:val="0"/>
              <w:marTop w:val="0"/>
              <w:marBottom w:val="0"/>
              <w:divBdr>
                <w:top w:val="none" w:sz="0" w:space="0" w:color="auto"/>
                <w:left w:val="none" w:sz="0" w:space="0" w:color="auto"/>
                <w:bottom w:val="none" w:sz="0" w:space="0" w:color="auto"/>
                <w:right w:val="none" w:sz="0" w:space="0" w:color="auto"/>
              </w:divBdr>
              <w:divsChild>
                <w:div w:id="1623801437">
                  <w:marLeft w:val="0"/>
                  <w:marRight w:val="0"/>
                  <w:marTop w:val="0"/>
                  <w:marBottom w:val="0"/>
                  <w:divBdr>
                    <w:top w:val="none" w:sz="0" w:space="0" w:color="auto"/>
                    <w:left w:val="none" w:sz="0" w:space="0" w:color="auto"/>
                    <w:bottom w:val="none" w:sz="0" w:space="0" w:color="auto"/>
                    <w:right w:val="none" w:sz="0" w:space="0" w:color="auto"/>
                  </w:divBdr>
                </w:div>
              </w:divsChild>
            </w:div>
            <w:div w:id="1423407599">
              <w:marLeft w:val="0"/>
              <w:marRight w:val="0"/>
              <w:marTop w:val="0"/>
              <w:marBottom w:val="0"/>
              <w:divBdr>
                <w:top w:val="none" w:sz="0" w:space="0" w:color="auto"/>
                <w:left w:val="none" w:sz="0" w:space="0" w:color="auto"/>
                <w:bottom w:val="none" w:sz="0" w:space="0" w:color="auto"/>
                <w:right w:val="none" w:sz="0" w:space="0" w:color="auto"/>
              </w:divBdr>
              <w:divsChild>
                <w:div w:id="669140122">
                  <w:marLeft w:val="0"/>
                  <w:marRight w:val="0"/>
                  <w:marTop w:val="0"/>
                  <w:marBottom w:val="0"/>
                  <w:divBdr>
                    <w:top w:val="none" w:sz="0" w:space="0" w:color="auto"/>
                    <w:left w:val="none" w:sz="0" w:space="0" w:color="auto"/>
                    <w:bottom w:val="none" w:sz="0" w:space="0" w:color="auto"/>
                    <w:right w:val="none" w:sz="0" w:space="0" w:color="auto"/>
                  </w:divBdr>
                </w:div>
              </w:divsChild>
            </w:div>
            <w:div w:id="1423187219">
              <w:marLeft w:val="0"/>
              <w:marRight w:val="0"/>
              <w:marTop w:val="0"/>
              <w:marBottom w:val="0"/>
              <w:divBdr>
                <w:top w:val="none" w:sz="0" w:space="0" w:color="auto"/>
                <w:left w:val="none" w:sz="0" w:space="0" w:color="auto"/>
                <w:bottom w:val="none" w:sz="0" w:space="0" w:color="auto"/>
                <w:right w:val="none" w:sz="0" w:space="0" w:color="auto"/>
              </w:divBdr>
              <w:divsChild>
                <w:div w:id="1741245447">
                  <w:marLeft w:val="0"/>
                  <w:marRight w:val="0"/>
                  <w:marTop w:val="0"/>
                  <w:marBottom w:val="0"/>
                  <w:divBdr>
                    <w:top w:val="none" w:sz="0" w:space="0" w:color="auto"/>
                    <w:left w:val="none" w:sz="0" w:space="0" w:color="auto"/>
                    <w:bottom w:val="none" w:sz="0" w:space="0" w:color="auto"/>
                    <w:right w:val="none" w:sz="0" w:space="0" w:color="auto"/>
                  </w:divBdr>
                </w:div>
              </w:divsChild>
            </w:div>
            <w:div w:id="183252967">
              <w:marLeft w:val="0"/>
              <w:marRight w:val="0"/>
              <w:marTop w:val="0"/>
              <w:marBottom w:val="0"/>
              <w:divBdr>
                <w:top w:val="none" w:sz="0" w:space="0" w:color="auto"/>
                <w:left w:val="none" w:sz="0" w:space="0" w:color="auto"/>
                <w:bottom w:val="none" w:sz="0" w:space="0" w:color="auto"/>
                <w:right w:val="none" w:sz="0" w:space="0" w:color="auto"/>
              </w:divBdr>
              <w:divsChild>
                <w:div w:id="1827159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pages/createpage.action?spaceKey=STANDARDISIERUNGSAUSSCHUSS&amp;title=P483&amp;linkCreation=true&amp;fromPageId=198098925" TargetMode="External"/><Relationship Id="rId3" Type="http://schemas.openxmlformats.org/officeDocument/2006/relationships/settings" Target="settings.xml"/><Relationship Id="rId7" Type="http://schemas.openxmlformats.org/officeDocument/2006/relationships/hyperlink" Target="https://wiki.dnb.de/pages/createpage.action?spaceKey=STANDARDISIERUNGSAUSSCHUSS&amp;title=P603&amp;linkCreation=true&amp;fromPageId=19809892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sc.rbms.info/DCRMR/phys-desc/Extent-of-manifestation/" TargetMode="External"/><Relationship Id="rId11" Type="http://schemas.openxmlformats.org/officeDocument/2006/relationships/fontTable" Target="fontTable.xml"/><Relationship Id="rId5" Type="http://schemas.openxmlformats.org/officeDocument/2006/relationships/hyperlink" Target="https://wiki.dnb.de/pages/createpage.action?spaceKey=STANDARDISIERUNGSAUSSCHUSS&amp;title=P603&amp;linkCreation=true&amp;fromPageId=198098925" TargetMode="External"/><Relationship Id="rId10" Type="http://schemas.openxmlformats.org/officeDocument/2006/relationships/hyperlink" Target="https://wiki.dnb.de/pages/createpage.action?spaceKey=STANDARDISIERUNGSAUSSCHUSS&amp;title=P603&amp;linkCreation=true&amp;fromPageId=198098925" TargetMode="External"/><Relationship Id="rId4" Type="http://schemas.openxmlformats.org/officeDocument/2006/relationships/webSettings" Target="webSettings.xml"/><Relationship Id="rId9" Type="http://schemas.openxmlformats.org/officeDocument/2006/relationships/hyperlink" Target="https://wiki.dnb.de/pages/createpage.action?spaceKey=STANDARDISIERUNGSAUSSCHUSS&amp;title=P483&amp;linkCreation=true&amp;fromPageId=198098925"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2023</Words>
  <Characters>12752</Characters>
  <Application>Microsoft Office Word</Application>
  <DocSecurity>0</DocSecurity>
  <Lines>106</Lines>
  <Paragraphs>29</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14746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3</cp:revision>
  <dcterms:created xsi:type="dcterms:W3CDTF">2022-10-26T16:30:00Z</dcterms:created>
  <dcterms:modified xsi:type="dcterms:W3CDTF">2022-10-26T16:31:00Z</dcterms:modified>
</cp:coreProperties>
</file>