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mbria,Bold" w:hAnsi="Cambria,Bold" w:cs="Cambria,Bold"/>
          <w:b/>
          <w:bCs/>
          <w:color w:val="4F82BE"/>
          <w:sz w:val="26"/>
          <w:szCs w:val="26"/>
        </w:rPr>
      </w:pPr>
      <w:r>
        <w:rPr>
          <w:rFonts w:ascii="Cambria,Bold" w:hAnsi="Cambria,Bold" w:cs="Cambria,Bold"/>
          <w:b/>
          <w:bCs/>
          <w:color w:val="4F82BE"/>
          <w:sz w:val="26"/>
          <w:szCs w:val="26"/>
        </w:rPr>
        <w:t>3.7 Mehrbändige begrenzte Werke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,Bold" w:eastAsia="Calibri,Bold" w:hAnsi="Cambria,Bold" w:cs="Calibri,Bold"/>
          <w:b/>
          <w:bCs/>
          <w:color w:val="000000"/>
          <w:sz w:val="23"/>
          <w:szCs w:val="23"/>
        </w:rPr>
      </w:pPr>
      <w:r>
        <w:rPr>
          <w:rFonts w:ascii="Calibri,Bold" w:eastAsia="Calibri,Bold" w:hAnsi="Cambria,Bold" w:cs="Calibri,Bold"/>
          <w:b/>
          <w:bCs/>
          <w:color w:val="000000"/>
          <w:sz w:val="23"/>
          <w:szCs w:val="23"/>
        </w:rPr>
        <w:t xml:space="preserve">Historisches </w:t>
      </w:r>
      <w:r>
        <w:rPr>
          <w:rFonts w:ascii="Wingdings" w:hAnsi="Wingdings" w:cs="Wingdings"/>
          <w:color w:val="000000"/>
          <w:sz w:val="23"/>
          <w:szCs w:val="23"/>
        </w:rPr>
        <w:t></w:t>
      </w:r>
      <w:r>
        <w:rPr>
          <w:rFonts w:ascii="Wingdings" w:hAnsi="Wingdings" w:cs="Wingdings"/>
          <w:color w:val="000000"/>
          <w:sz w:val="23"/>
          <w:szCs w:val="23"/>
        </w:rPr>
        <w:t></w:t>
      </w:r>
      <w:r>
        <w:rPr>
          <w:rFonts w:ascii="Calibri,Bold" w:eastAsia="Calibri,Bold" w:hAnsi="Cambria,Bold" w:cs="Calibri,Bold"/>
          <w:b/>
          <w:bCs/>
          <w:color w:val="000000"/>
          <w:sz w:val="23"/>
          <w:szCs w:val="23"/>
        </w:rPr>
        <w:t>5.7.2.2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mbria,Bold" w:hAnsi="Cambria,Bold" w:cs="Cambria,Bold"/>
          <w:b/>
          <w:bCs/>
          <w:color w:val="4F82BE"/>
        </w:rPr>
      </w:pPr>
      <w:r>
        <w:rPr>
          <w:rFonts w:ascii="Cambria,Bold" w:hAnsi="Cambria,Bold" w:cs="Cambria,Bold"/>
          <w:b/>
          <w:bCs/>
          <w:color w:val="8EB4E3"/>
        </w:rPr>
        <w:t xml:space="preserve">3.7.1 </w:t>
      </w:r>
      <w:r>
        <w:rPr>
          <w:rFonts w:ascii="Cambria,Bold" w:hAnsi="Cambria,Bold" w:cs="Cambria,Bold"/>
          <w:b/>
          <w:bCs/>
          <w:color w:val="4F82BE"/>
        </w:rPr>
        <w:t>Mehrbändig oder nicht mehrbändig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Kriterien fur Mehrbandigkeit sind: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Wingdings" w:hAnsi="Wingdings" w:cs="Wingdings"/>
          <w:color w:val="000000"/>
          <w:sz w:val="23"/>
          <w:szCs w:val="23"/>
        </w:rPr>
        <w:t></w:t>
      </w:r>
      <w:r>
        <w:rPr>
          <w:rFonts w:ascii="Wingdings" w:hAnsi="Wingdings" w:cs="Wingdings"/>
          <w:color w:val="000000"/>
          <w:sz w:val="23"/>
          <w:szCs w:val="23"/>
        </w:rPr>
        <w:t></w:t>
      </w:r>
      <w:r>
        <w:rPr>
          <w:rFonts w:ascii="Calibri" w:hAnsi="Calibri" w:cs="Calibri"/>
          <w:color w:val="000000"/>
          <w:sz w:val="23"/>
          <w:szCs w:val="23"/>
        </w:rPr>
        <w:t>Gesamttitelblatt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Wingdings" w:hAnsi="Wingdings" w:cs="Wingdings"/>
          <w:color w:val="000000"/>
          <w:sz w:val="23"/>
          <w:szCs w:val="23"/>
        </w:rPr>
        <w:t></w:t>
      </w:r>
      <w:r>
        <w:rPr>
          <w:rFonts w:ascii="Wingdings" w:hAnsi="Wingdings" w:cs="Wingdings"/>
          <w:color w:val="000000"/>
          <w:sz w:val="23"/>
          <w:szCs w:val="23"/>
        </w:rPr>
        <w:t></w:t>
      </w:r>
      <w:r>
        <w:rPr>
          <w:rFonts w:ascii="Calibri" w:hAnsi="Calibri" w:cs="Calibri"/>
          <w:color w:val="000000"/>
          <w:sz w:val="23"/>
          <w:szCs w:val="23"/>
        </w:rPr>
        <w:t>vollstandige Titelblatter fur die Bande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Wingdings" w:hAnsi="Wingdings" w:cs="Wingdings"/>
          <w:color w:val="000000"/>
          <w:sz w:val="23"/>
          <w:szCs w:val="23"/>
        </w:rPr>
        <w:t></w:t>
      </w:r>
      <w:r>
        <w:rPr>
          <w:rFonts w:ascii="Wingdings" w:hAnsi="Wingdings" w:cs="Wingdings"/>
          <w:color w:val="000000"/>
          <w:sz w:val="23"/>
          <w:szCs w:val="23"/>
        </w:rPr>
        <w:t></w:t>
      </w:r>
      <w:r>
        <w:rPr>
          <w:rFonts w:ascii="Calibri" w:hAnsi="Calibri" w:cs="Calibri"/>
          <w:color w:val="000000"/>
          <w:sz w:val="23"/>
          <w:szCs w:val="23"/>
        </w:rPr>
        <w:t>eigene Seiten- und Lagenzahlungen fur die Bande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Wingdings" w:hAnsi="Wingdings" w:cs="Wingdings"/>
          <w:color w:val="000000"/>
          <w:sz w:val="23"/>
          <w:szCs w:val="23"/>
        </w:rPr>
        <w:t></w:t>
      </w:r>
      <w:r>
        <w:rPr>
          <w:rFonts w:ascii="Wingdings" w:hAnsi="Wingdings" w:cs="Wingdings"/>
          <w:color w:val="000000"/>
          <w:sz w:val="23"/>
          <w:szCs w:val="23"/>
        </w:rPr>
        <w:t></w:t>
      </w:r>
      <w:r>
        <w:rPr>
          <w:rFonts w:ascii="Calibri" w:hAnsi="Calibri" w:cs="Calibri"/>
          <w:color w:val="000000"/>
          <w:sz w:val="23"/>
          <w:szCs w:val="23"/>
        </w:rPr>
        <w:t>Bandzahlungen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Wingdings" w:hAnsi="Wingdings" w:cs="Wingdings"/>
          <w:color w:val="000000"/>
          <w:sz w:val="23"/>
          <w:szCs w:val="23"/>
        </w:rPr>
        <w:t></w:t>
      </w:r>
      <w:r>
        <w:rPr>
          <w:rFonts w:ascii="Wingdings" w:hAnsi="Wingdings" w:cs="Wingdings"/>
          <w:color w:val="000000"/>
          <w:sz w:val="23"/>
          <w:szCs w:val="23"/>
        </w:rPr>
        <w:t></w:t>
      </w:r>
      <w:r>
        <w:rPr>
          <w:rFonts w:ascii="Calibri" w:hAnsi="Calibri" w:cs="Calibri"/>
          <w:color w:val="000000"/>
          <w:sz w:val="23"/>
          <w:szCs w:val="23"/>
        </w:rPr>
        <w:t>keine weiterfuhrende Kustoden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Anm. Endet ein Band mit einer Kustode, die auf einen anderen (den nachfolgenden) Band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weiterfuhrt, bilden diese Bande zusammen eine bibliographische Einheit. Der Buchbinder wurde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mit Hilfe der Kustode angewiesen, die Bande zusammenzubinden.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Nicht alle Kriterien sind im Einzelfall erfullt. Ob ein Titel mehrbandig oder monographisch erfasst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wird, hangt dann nicht selten vom bibliographischen Nachweis oder auch von der Fassung des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Titels ab (vergl. 3.7.3).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Bande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Wingdings" w:hAnsi="Wingdings" w:cs="Wingdings"/>
          <w:color w:val="000000"/>
          <w:sz w:val="23"/>
          <w:szCs w:val="23"/>
        </w:rPr>
        <w:t></w:t>
      </w:r>
      <w:r>
        <w:rPr>
          <w:rFonts w:ascii="Wingdings" w:hAnsi="Wingdings" w:cs="Wingdings"/>
          <w:color w:val="000000"/>
          <w:sz w:val="23"/>
          <w:szCs w:val="23"/>
        </w:rPr>
        <w:t></w:t>
      </w:r>
      <w:r>
        <w:rPr>
          <w:rFonts w:ascii="Calibri" w:hAnsi="Calibri" w:cs="Calibri"/>
          <w:color w:val="000000"/>
          <w:sz w:val="23"/>
          <w:szCs w:val="23"/>
        </w:rPr>
        <w:t>ohne vollstandiges Titelblatt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Wingdings" w:hAnsi="Wingdings" w:cs="Wingdings"/>
          <w:color w:val="000000"/>
          <w:sz w:val="23"/>
          <w:szCs w:val="23"/>
        </w:rPr>
        <w:t></w:t>
      </w:r>
      <w:r>
        <w:rPr>
          <w:rFonts w:ascii="Wingdings" w:hAnsi="Wingdings" w:cs="Wingdings"/>
          <w:color w:val="000000"/>
          <w:sz w:val="23"/>
          <w:szCs w:val="23"/>
        </w:rPr>
        <w:t></w:t>
      </w:r>
      <w:r>
        <w:rPr>
          <w:rFonts w:ascii="Calibri" w:hAnsi="Calibri" w:cs="Calibri"/>
          <w:color w:val="000000"/>
          <w:sz w:val="23"/>
          <w:szCs w:val="23"/>
        </w:rPr>
        <w:t>ohne eigene Seiten-/Blattzahlung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Wingdings" w:hAnsi="Wingdings" w:cs="Wingdings"/>
          <w:color w:val="000000"/>
          <w:sz w:val="23"/>
          <w:szCs w:val="23"/>
        </w:rPr>
        <w:t></w:t>
      </w:r>
      <w:r>
        <w:rPr>
          <w:rFonts w:ascii="Wingdings" w:hAnsi="Wingdings" w:cs="Wingdings"/>
          <w:color w:val="000000"/>
          <w:sz w:val="23"/>
          <w:szCs w:val="23"/>
        </w:rPr>
        <w:t></w:t>
      </w:r>
      <w:r>
        <w:rPr>
          <w:rFonts w:ascii="Calibri" w:hAnsi="Calibri" w:cs="Calibri"/>
          <w:color w:val="000000"/>
          <w:sz w:val="23"/>
          <w:szCs w:val="23"/>
        </w:rPr>
        <w:t>ohne eigene Bogenzahlung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Wingdings" w:hAnsi="Wingdings" w:cs="Wingdings"/>
          <w:color w:val="000000"/>
          <w:sz w:val="23"/>
          <w:szCs w:val="23"/>
        </w:rPr>
        <w:t></w:t>
      </w:r>
      <w:r>
        <w:rPr>
          <w:rFonts w:ascii="Wingdings" w:hAnsi="Wingdings" w:cs="Wingdings"/>
          <w:color w:val="000000"/>
          <w:sz w:val="23"/>
          <w:szCs w:val="23"/>
        </w:rPr>
        <w:t></w:t>
      </w:r>
      <w:r>
        <w:rPr>
          <w:rFonts w:ascii="Calibri" w:hAnsi="Calibri" w:cs="Calibri"/>
          <w:color w:val="000000"/>
          <w:sz w:val="23"/>
          <w:szCs w:val="23"/>
        </w:rPr>
        <w:t>mit Verbindung durch Kustoden zu anderen Banden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sollten i.d.R. keinen eigenen Bandsatz erhalten.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Hinweis: „Hat bei alten Drucken das mehrbandige Werk keine Bandzahlung und keine Stucktitel,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so erhalt jeder Teil eine eigene Einheitsaufnahme ohne Bandauffuhrung. Wendungen, die das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Erscheinen in mehreren Teilen anzeigen, werden als Bestandteil der Sachtitel- und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Verfasserangabe aufgefuhrt.“ (RAK-WB § 113,2, 2. Abs.)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Bei der Nutzung vorhandener Altdaten konnen hiervon abweichende Strukturen toleriert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werden, wenn der Sachverhalt durch Fusnoten erlautert wird (s. 3.7.4).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mbria,Bold" w:hAnsi="Cambria,Bold" w:cs="Cambria,Bold"/>
          <w:b/>
          <w:bCs/>
          <w:color w:val="4F82BE"/>
        </w:rPr>
      </w:pPr>
      <w:r>
        <w:rPr>
          <w:rFonts w:ascii="Cambria,Bold" w:hAnsi="Cambria,Bold" w:cs="Cambria,Bold"/>
          <w:b/>
          <w:bCs/>
          <w:color w:val="8EB4E3"/>
        </w:rPr>
        <w:t xml:space="preserve">3.7.2 </w:t>
      </w:r>
      <w:r>
        <w:rPr>
          <w:rFonts w:ascii="Cambria,Bold" w:hAnsi="Cambria,Bold" w:cs="Cambria,Bold"/>
          <w:b/>
          <w:bCs/>
          <w:color w:val="4F82BE"/>
        </w:rPr>
        <w:t>Bandnachtrag oder Stücktitel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Grundsatzlich regelt § 110,2 RAK-WB, in welchen Fallen auf eine Stucktitelaufnahme verzichtet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wird. Laut Verbundkommentar K § 110,2 d) werden vorhandene Stucktitelaufnahmen von Teilen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 xml:space="preserve">mehrbandiger </w:t>
      </w:r>
      <w:r>
        <w:rPr>
          <w:rFonts w:ascii="Calibri,Italic" w:hAnsi="Calibri,Italic" w:cs="Calibri,Italic"/>
          <w:i/>
          <w:iCs/>
          <w:color w:val="000000"/>
          <w:sz w:val="23"/>
          <w:szCs w:val="23"/>
        </w:rPr>
        <w:t xml:space="preserve">Sammlungen </w:t>
      </w:r>
      <w:r>
        <w:rPr>
          <w:rFonts w:ascii="Calibri" w:hAnsi="Calibri" w:cs="Calibri"/>
          <w:color w:val="000000"/>
          <w:sz w:val="23"/>
          <w:szCs w:val="23"/>
        </w:rPr>
        <w:t>auch dann toleriert, wenn sie § 110,2 d) RAK-WB und dem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Verbundkommentar nicht entsprechen.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mbria,Bold" w:hAnsi="Cambria,Bold" w:cs="Cambria,Bold"/>
          <w:b/>
          <w:bCs/>
          <w:color w:val="4F82BE"/>
        </w:rPr>
      </w:pPr>
      <w:r>
        <w:rPr>
          <w:rFonts w:ascii="Cambria,Bold" w:hAnsi="Cambria,Bold" w:cs="Cambria,Bold"/>
          <w:b/>
          <w:bCs/>
          <w:color w:val="8EB4E3"/>
        </w:rPr>
        <w:t xml:space="preserve">3.7.3 </w:t>
      </w:r>
      <w:r>
        <w:rPr>
          <w:rFonts w:ascii="Cambria,Bold" w:hAnsi="Cambria,Bold" w:cs="Cambria,Bold"/>
          <w:b/>
          <w:bCs/>
          <w:color w:val="4F82BE"/>
        </w:rPr>
        <w:t>Titelschwankungen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Abweichende Titelfassungen fur den Gesamttitel in den einzelnen Banden mehrbandiger Werke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sind bei alten Drucken nicht selten.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Es kommen dann u.U. mehrere, dem Einzelfall angemessene RAK-gerechte oder RAK-analoge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Losungen fur ein- und denselben bibliographischen Sachverhalt in Frage: Erfassung spater oder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seltener auftretender Titel als Nebentitel in der Uberordnung (vergl. § 113,3 RAK-WB), Titelsplit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(Fruher-Spater-Beziehung, vergl. § 113,2, 1. Abs.), Stucktitel oder Aufnahme als Monographien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(Vorganger-Fortsetzungs-Beziehung, vergl. § 619).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  <w:color w:val="000000"/>
          <w:sz w:val="23"/>
          <w:szCs w:val="23"/>
        </w:rPr>
      </w:pPr>
      <w:r>
        <w:rPr>
          <w:rFonts w:ascii="Calibri,Italic" w:hAnsi="Calibri,Italic" w:cs="Calibri,Italic"/>
          <w:i/>
          <w:iCs/>
          <w:color w:val="000000"/>
          <w:sz w:val="23"/>
          <w:szCs w:val="23"/>
        </w:rPr>
        <w:t>„Hat bei alten Drucken das mehrbändige Werk keine Bandzählung und keine Stücktitel,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  <w:color w:val="000000"/>
          <w:sz w:val="23"/>
          <w:szCs w:val="23"/>
        </w:rPr>
      </w:pPr>
      <w:r>
        <w:rPr>
          <w:rFonts w:ascii="Calibri,Italic" w:hAnsi="Calibri,Italic" w:cs="Calibri,Italic"/>
          <w:i/>
          <w:iCs/>
          <w:color w:val="000000"/>
          <w:sz w:val="23"/>
          <w:szCs w:val="23"/>
        </w:rPr>
        <w:t>so erhält jeder Teil eine eigene Einheitsaufnahme ohne Bandauffiihrung. Wendungen,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  <w:color w:val="000000"/>
          <w:sz w:val="23"/>
          <w:szCs w:val="23"/>
        </w:rPr>
      </w:pPr>
      <w:r>
        <w:rPr>
          <w:rFonts w:ascii="Calibri,Italic" w:hAnsi="Calibri,Italic" w:cs="Calibri,Italic"/>
          <w:i/>
          <w:iCs/>
          <w:color w:val="000000"/>
          <w:sz w:val="23"/>
          <w:szCs w:val="23"/>
        </w:rPr>
        <w:t>die das Erscheinen in mehreren Teilen anzeigen, werden als Bestandteil der Sachtitelund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  <w:color w:val="000000"/>
          <w:sz w:val="23"/>
          <w:szCs w:val="23"/>
        </w:rPr>
      </w:pPr>
      <w:r>
        <w:rPr>
          <w:rFonts w:ascii="Calibri,Italic" w:hAnsi="Calibri,Italic" w:cs="Calibri,Italic"/>
          <w:i/>
          <w:iCs/>
          <w:color w:val="000000"/>
          <w:sz w:val="23"/>
          <w:szCs w:val="23"/>
        </w:rPr>
        <w:t>Verfasserangabe aufgeführt.“ (RAK-WB § 113,2, 2. Abs.)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mbria,Bold" w:hAnsi="Cambria,Bold" w:cs="Cambria,Bold"/>
          <w:b/>
          <w:bCs/>
          <w:color w:val="4F82BE"/>
        </w:rPr>
      </w:pPr>
      <w:r>
        <w:rPr>
          <w:rFonts w:ascii="Cambria,Bold" w:hAnsi="Cambria,Bold" w:cs="Cambria,Bold"/>
          <w:b/>
          <w:bCs/>
          <w:color w:val="8EB4E3"/>
        </w:rPr>
        <w:t xml:space="preserve">3.7.4 </w:t>
      </w:r>
      <w:r>
        <w:rPr>
          <w:rFonts w:ascii="Cambria,Bold" w:hAnsi="Cambria,Bold" w:cs="Cambria,Bold"/>
          <w:b/>
          <w:bCs/>
          <w:color w:val="4F82BE"/>
        </w:rPr>
        <w:t>Einzelheiten zur Erfassung mehrbändiger Werke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Grundsatzliches zur Bearbeitung mehrbandiger begrenzter Werke ist in RAK-WB und den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Verbundvereinbarungen geregelt.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,Bold" w:eastAsia="Calibri,Bold" w:hAnsi="Cambria,Bold" w:cs="Calibri,Bold"/>
          <w:b/>
          <w:bCs/>
          <w:color w:val="000000"/>
          <w:sz w:val="23"/>
          <w:szCs w:val="23"/>
        </w:rPr>
      </w:pPr>
      <w:r>
        <w:rPr>
          <w:rFonts w:ascii="Calibri,Bold" w:eastAsia="Calibri,Bold" w:hAnsi="Cambria,Bold" w:cs="Calibri,Bold"/>
          <w:b/>
          <w:bCs/>
          <w:color w:val="000000"/>
          <w:sz w:val="23"/>
          <w:szCs w:val="23"/>
        </w:rPr>
        <w:lastRenderedPageBreak/>
        <w:t>Besonders zu beachten sind bei der Katalogisierung alter Drucke die folgenden Regeln: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Die Bandangabe in Vorlageform (Feld 089 bzw. 451 ff. und 455 ff.) wird in der Form und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Reihenfolge der Vorlage einschlieslich der Bandbezeichnung erfasst.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Die Bandangabe in Sortierform (Feld 090 bzw. 456 ff.) wird wie bei modernen Drucken normiert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erfasst.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Die bei alten Drucken haufig auftretende mit der Bandzahlung grammatisch verbundene Angabe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uber den Inhalt des jeweiligen Bandes wird in Feld 331 aufgefuhrt, gilt jedoch nicht als Stucktitel.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Der Band wird in diesen Fallen als Nachtrag unter der Uberordnung (Schablone band.mrc)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erfasst.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Beispiel: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089 Zweyter Theil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090 2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331 Welcher nahere Bestimmungen und Zusazze zu denen in dem im Jahr 1790 erschienenen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Handbuche befindlichen Gewachsen wie auch mehrere hinzugekommene enthalt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335 nebst einem Anhange uber die Auswahl der Gewachse zu charakteristischen und einigen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anderen Anlagen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Werden in der Feld 451 ff. Bandbezeichnung und -zahlung in grammatischer Verbindung mit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dem Gesamttitel oder dem Zusatz genannt, so wird auf deren Wiederholung nach „￢;￢“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verzichtet.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Beispiel: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331 &lt;&lt;Die&gt;&gt; Rohse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451 Dritter Theil des Handbuchs fur Liebhaber Englischer Pflanzungen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455 Dritter Theil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456 3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Das Feld 403 enthalt im Bandsatz die Auflagen-/Ausgabebezeichnung des jeweiligen Bandes in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,Bold" w:eastAsia="Calibri,Bold" w:hAnsi="Cambria,Bold" w:cs="Calibri,Bold"/>
          <w:b/>
          <w:bCs/>
          <w:color w:val="0000FF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Vorlageform, sofern diese von der des ubergeordneten Werks abweicht</w:t>
      </w:r>
      <w:r>
        <w:rPr>
          <w:rFonts w:ascii="Calibri,Bold" w:eastAsia="Calibri,Bold" w:hAnsi="Cambria,Bold" w:cs="Calibri,Bold"/>
          <w:b/>
          <w:bCs/>
          <w:color w:val="0000FF"/>
          <w:sz w:val="23"/>
          <w:szCs w:val="23"/>
        </w:rPr>
        <w:t>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 xml:space="preserve">In Feld 433 werden die Angaben im Allgemeinen </w:t>
      </w:r>
      <w:r>
        <w:rPr>
          <w:rFonts w:ascii="Calibri,Italic" w:hAnsi="Calibri,Italic" w:cs="Calibri,Italic"/>
          <w:i/>
          <w:iCs/>
          <w:color w:val="000000"/>
          <w:sz w:val="23"/>
          <w:szCs w:val="23"/>
        </w:rPr>
        <w:t>in der für den jeweiligen Band zutreffenden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,Italic" w:hAnsi="Calibri,Italic" w:cs="Calibri,Italic"/>
          <w:i/>
          <w:iCs/>
          <w:color w:val="000000"/>
          <w:sz w:val="23"/>
          <w:szCs w:val="23"/>
        </w:rPr>
        <w:t xml:space="preserve">Form </w:t>
      </w:r>
      <w:r>
        <w:rPr>
          <w:rFonts w:ascii="Calibri" w:hAnsi="Calibri" w:cs="Calibri"/>
          <w:color w:val="000000"/>
          <w:sz w:val="23"/>
          <w:szCs w:val="23"/>
        </w:rPr>
        <w:t>gemacht.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,Bold" w:eastAsia="Calibri,Bold" w:hAnsi="Cambria,Bold" w:cs="Calibri,Bold"/>
          <w:b/>
          <w:bCs/>
          <w:color w:val="000000"/>
          <w:sz w:val="23"/>
          <w:szCs w:val="23"/>
        </w:rPr>
      </w:pPr>
      <w:r>
        <w:rPr>
          <w:rFonts w:ascii="Calibri,Bold" w:eastAsia="Calibri,Bold" w:hAnsi="Cambria,Bold" w:cs="Calibri,Bold"/>
          <w:b/>
          <w:bCs/>
          <w:color w:val="000000"/>
          <w:sz w:val="23"/>
          <w:szCs w:val="23"/>
        </w:rPr>
        <w:t>Die Angabe des Formats erfolgt in Feld 435, wenn die einzelnen Bande in unterschiedlichen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,Bold" w:eastAsia="Calibri,Bold" w:hAnsi="Cambria,Bold" w:cs="Calibri,Bold"/>
          <w:b/>
          <w:bCs/>
          <w:color w:val="000000"/>
          <w:sz w:val="23"/>
          <w:szCs w:val="23"/>
        </w:rPr>
      </w:pPr>
      <w:r>
        <w:rPr>
          <w:rFonts w:ascii="Calibri,Bold" w:eastAsia="Calibri,Bold" w:hAnsi="Cambria,Bold" w:cs="Calibri,Bold"/>
          <w:b/>
          <w:bCs/>
          <w:color w:val="000000"/>
          <w:sz w:val="23"/>
          <w:szCs w:val="23"/>
        </w:rPr>
        <w:t>Formaten vorliegen.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 xml:space="preserve">Feld 511 enthalt die Vorlageform des Erscheinungsvermerks </w:t>
      </w:r>
      <w:r>
        <w:rPr>
          <w:rFonts w:ascii="Calibri,Italic" w:hAnsi="Calibri,Italic" w:cs="Calibri,Italic"/>
          <w:i/>
          <w:iCs/>
          <w:color w:val="000000"/>
          <w:sz w:val="23"/>
          <w:szCs w:val="23"/>
        </w:rPr>
        <w:t>des jeweiligen Bandes</w:t>
      </w:r>
      <w:r>
        <w:rPr>
          <w:rFonts w:ascii="Calibri" w:hAnsi="Calibri" w:cs="Calibri"/>
          <w:color w:val="000000"/>
          <w:sz w:val="23"/>
          <w:szCs w:val="23"/>
        </w:rPr>
        <w:t>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,Italic" w:hAnsi="Calibri,Italic" w:cs="Calibri,Italic"/>
          <w:i/>
          <w:iCs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 xml:space="preserve">Ist die Vorlageform in allen Banden gleich - einschlieslich des Erscheinungsjahres - wird sie </w:t>
      </w:r>
      <w:r>
        <w:rPr>
          <w:rFonts w:ascii="Calibri,Italic" w:hAnsi="Calibri,Italic" w:cs="Calibri,Italic"/>
          <w:i/>
          <w:iCs/>
          <w:color w:val="000000"/>
          <w:sz w:val="23"/>
          <w:szCs w:val="23"/>
        </w:rPr>
        <w:t>nur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bei der Uberordnung erfasst.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Differiert die Vorlageform des Erscheinungsvermerks in den Banden nur jeweils hinsichtlich des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 xml:space="preserve">Erscheinungsjahrs, kann die Vorlageform </w:t>
      </w:r>
      <w:r>
        <w:rPr>
          <w:rFonts w:ascii="Calibri,Italic" w:hAnsi="Calibri,Italic" w:cs="Calibri,Italic"/>
          <w:i/>
          <w:iCs/>
          <w:color w:val="000000"/>
          <w:sz w:val="23"/>
          <w:szCs w:val="23"/>
        </w:rPr>
        <w:t xml:space="preserve">zusätzlich </w:t>
      </w:r>
      <w:r>
        <w:rPr>
          <w:rFonts w:ascii="Calibri" w:hAnsi="Calibri" w:cs="Calibri"/>
          <w:color w:val="000000"/>
          <w:sz w:val="23"/>
          <w:szCs w:val="23"/>
        </w:rPr>
        <w:t>in der Uberordnung unter Auslassung des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Jahres angegeben werden.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Beispiel: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331 |a|Instruction des gerichtliches Processus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511 |p|Vorlageform des Erscheinungsvermerks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|a|Lipsiae|| Sumtibus Haeredum Henningi Grosii|| Anno ...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089 |a|Erster Theil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090 |a|1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511 |p|Vorlageform des Erscheinungsvermerks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|a|Lipsiae|| Sumtibus Haeredum Henningi Grosii|| Anno M. DC. XXIII.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Eintragungen unter Personennamen werden nur bei der Uberordnung gemacht. Dies gilt auch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fur die nur bei alten Drucken vorkommenden Personen wie Beitrager, Widmungsempfanger und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Zensoren.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lastRenderedPageBreak/>
        <w:t>Beispiel: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Nebeneintragung in der Uberordnung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104b|p| Schultes, Jacob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|b|[Widmungsempfanger]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|9|122435893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Auffuhrung im Bandsatz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509 |a| Widmungsempfanger: Jacob Schultes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Mehrbandige begrenzte Werke in verschiedenen Auflagen: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Im hbz gilt fur mehrbandige begrenzte Werke, die in verschiedenen gezahlten Ausgaben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(Auflagen) erschienen sind, die Kann-Bestimmung fur alte Drucke aus RAK-WB § 109,2 als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Grundregel, d.h., jede Ausgabe (Auflage) erhalt eine eigene Einheitsaufnahme. Die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Auflagenbezeichnung wird in Feld 403 i.d.R. nur in der Uberordnung eingetragen. Eine bereits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vorhandene Einheitsaufnahme mit Banden in unterschiedlichen Ausgaben (Auflagen) kann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jedoch genutzt werden.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Bei alten Drucken variiert die Auflagenzahlung haufig in den einzelnen Banden. Bsp.: Ein Werk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erscheint zunachst als Monographie und spater noch einmal zusammen mit einem zweiten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Band, wobei der erste Bd. jetzt als „2. Aufl.“ bezeichnet wird. In der nachsten Ausgabe wird dann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Bd. 1 zur 3. Aufl., Bd. 2 zur 2. Aufl. und es erscheint noch ein Bd. 3 dazu. Welche Bande zu einer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bestimmten Auflage gehoren, lasst sich in vielen Fallen nur durch Bibliographieren klaren.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  <w:bookmarkStart w:id="0" w:name="_GoBack"/>
      <w:bookmarkEnd w:id="0"/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Auch wenn Ausgaben mit den vorhandenen Bibliographiermoglichkeiten nicht zu trennen sind,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sollte darauf in einer Fusnote hingewiesen werden. Die ermittelten Bande sollten aufgefuhrt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werden, um Doppelarbeit bei spateren Katalogisierungsansatzen zu vermeiden z.B. 523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Ausgaben nicht zu trennen, nachgewiesen: T. 1 (1693), (1695), (1696), und (1700), T. 2 (1699)</w:t>
      </w:r>
    </w:p>
    <w:p w:rsidR="0022699D" w:rsidRDefault="0022699D" w:rsidP="0022699D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3"/>
          <w:szCs w:val="23"/>
        </w:rPr>
      </w:pPr>
      <w:r>
        <w:rPr>
          <w:rFonts w:ascii="Calibri" w:hAnsi="Calibri" w:cs="Calibri"/>
          <w:color w:val="000000"/>
          <w:sz w:val="23"/>
          <w:szCs w:val="23"/>
        </w:rPr>
        <w:t>usw.</w:t>
      </w:r>
    </w:p>
    <w:p w:rsidR="0022699D" w:rsidRPr="0022699D" w:rsidRDefault="0022699D" w:rsidP="0022699D">
      <w:r>
        <w:rPr>
          <w:rFonts w:ascii="Wingdings" w:hAnsi="Wingdings" w:cs="Wingdings"/>
          <w:color w:val="000000"/>
          <w:sz w:val="23"/>
          <w:szCs w:val="23"/>
        </w:rPr>
        <w:t></w:t>
      </w:r>
      <w:r>
        <w:rPr>
          <w:rFonts w:ascii="Wingdings" w:hAnsi="Wingdings" w:cs="Wingdings"/>
          <w:color w:val="000000"/>
          <w:sz w:val="23"/>
          <w:szCs w:val="23"/>
        </w:rPr>
        <w:t></w:t>
      </w:r>
      <w:r>
        <w:rPr>
          <w:rFonts w:ascii="Calibri" w:hAnsi="Calibri" w:cs="Calibri"/>
          <w:color w:val="000000"/>
          <w:sz w:val="23"/>
          <w:szCs w:val="23"/>
        </w:rPr>
        <w:t>Beisp. 5.1.2</w:t>
      </w:r>
    </w:p>
    <w:sectPr w:rsidR="0022699D" w:rsidRPr="0022699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,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99D"/>
    <w:rsid w:val="0022699D"/>
    <w:rsid w:val="0098155F"/>
    <w:rsid w:val="00D82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1AB78"/>
  <w15:chartTrackingRefBased/>
  <w15:docId w15:val="{439272FA-CBCE-42FB-BD3D-2241A94A6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938</Words>
  <Characters>5912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Elke Pophanken</dc:creator>
  <cp:keywords/>
  <dc:description/>
  <cp:lastModifiedBy>Elke Pophanken</cp:lastModifiedBy>
  <cp:revision>2</cp:revision>
  <dcterms:created xsi:type="dcterms:W3CDTF">2019-09-23T14:36:00Z</dcterms:created>
  <dcterms:modified xsi:type="dcterms:W3CDTF">2019-09-23T14:42:00Z</dcterms:modified>
</cp:coreProperties>
</file>